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076" w:rsidRPr="00C65076" w:rsidRDefault="00C65076" w:rsidP="00C65076">
      <w:pPr>
        <w:pStyle w:val="Texto"/>
        <w:spacing w:line="360" w:lineRule="auto"/>
        <w:ind w:firstLine="0"/>
        <w:jc w:val="left"/>
        <w:rPr>
          <w:b/>
          <w:sz w:val="22"/>
          <w:szCs w:val="22"/>
        </w:rPr>
      </w:pPr>
      <w:r w:rsidRPr="00C65076">
        <w:rPr>
          <w:b/>
          <w:sz w:val="22"/>
          <w:szCs w:val="22"/>
        </w:rPr>
        <w:t>GRANDES EMPRESAS</w:t>
      </w:r>
    </w:p>
    <w:p w:rsidR="00C65076" w:rsidRPr="00C65076" w:rsidRDefault="00DA7427" w:rsidP="00C65076">
      <w:pPr>
        <w:pStyle w:val="Texto"/>
        <w:spacing w:line="360" w:lineRule="auto"/>
        <w:ind w:firstLine="0"/>
        <w:jc w:val="left"/>
        <w:rPr>
          <w:b/>
          <w:sz w:val="22"/>
          <w:szCs w:val="22"/>
        </w:rPr>
      </w:pPr>
      <w:r>
        <w:rPr>
          <w:b/>
          <w:sz w:val="22"/>
          <w:szCs w:val="22"/>
        </w:rPr>
        <w:t xml:space="preserve">LISTAS DE COMPROBACIÓN DE </w:t>
      </w:r>
      <w:r w:rsidR="00C65076" w:rsidRPr="00C65076">
        <w:rPr>
          <w:b/>
          <w:sz w:val="22"/>
          <w:szCs w:val="22"/>
        </w:rPr>
        <w:t>MEDIDAS RECOMENDADAS</w:t>
      </w:r>
    </w:p>
    <w:p w:rsidR="00DA7427" w:rsidRDefault="00DA7427" w:rsidP="00C65076">
      <w:pPr>
        <w:pStyle w:val="Texto"/>
        <w:spacing w:line="360" w:lineRule="auto"/>
        <w:ind w:firstLine="0"/>
        <w:jc w:val="center"/>
        <w:rPr>
          <w:b/>
          <w:sz w:val="22"/>
          <w:szCs w:val="22"/>
        </w:rPr>
      </w:pPr>
    </w:p>
    <w:p w:rsidR="000B66B5" w:rsidRPr="00C65076" w:rsidRDefault="000B66B5" w:rsidP="00C65076">
      <w:pPr>
        <w:pStyle w:val="Texto"/>
        <w:spacing w:line="360" w:lineRule="auto"/>
        <w:ind w:firstLine="0"/>
        <w:jc w:val="center"/>
        <w:rPr>
          <w:b/>
          <w:sz w:val="22"/>
          <w:szCs w:val="22"/>
        </w:rPr>
      </w:pPr>
      <w:r w:rsidRPr="00C65076">
        <w:rPr>
          <w:b/>
          <w:sz w:val="22"/>
          <w:szCs w:val="22"/>
        </w:rPr>
        <w:t>Tabla 19. Medidas de ingeniería o estructurales</w:t>
      </w:r>
    </w:p>
    <w:tbl>
      <w:tblPr>
        <w:tblW w:w="8712" w:type="dxa"/>
        <w:jc w:val="center"/>
        <w:tblLayout w:type="fixed"/>
        <w:tblCellMar>
          <w:left w:w="70" w:type="dxa"/>
          <w:right w:w="70" w:type="dxa"/>
        </w:tblCellMar>
        <w:tblLook w:val="0000" w:firstRow="0" w:lastRow="0" w:firstColumn="0" w:lastColumn="0" w:noHBand="0" w:noVBand="0"/>
      </w:tblPr>
      <w:tblGrid>
        <w:gridCol w:w="559"/>
        <w:gridCol w:w="6433"/>
        <w:gridCol w:w="573"/>
        <w:gridCol w:w="573"/>
        <w:gridCol w:w="574"/>
      </w:tblGrid>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Id</w:t>
            </w:r>
          </w:p>
        </w:tc>
        <w:tc>
          <w:tcPr>
            <w:tcW w:w="6433"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NA</w:t>
            </w:r>
          </w:p>
        </w:tc>
      </w:tr>
      <w:tr w:rsidR="000B66B5" w:rsidRPr="00C65076"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B66B5" w:rsidRPr="00C65076" w:rsidRDefault="000B66B5" w:rsidP="00C65076">
            <w:pPr>
              <w:pStyle w:val="Texto"/>
              <w:spacing w:line="360" w:lineRule="auto"/>
              <w:ind w:firstLine="0"/>
              <w:jc w:val="center"/>
              <w:rPr>
                <w:b/>
                <w:sz w:val="22"/>
                <w:szCs w:val="22"/>
              </w:rPr>
            </w:pPr>
            <w:r w:rsidRPr="00C65076">
              <w:rPr>
                <w:b/>
                <w:sz w:val="22"/>
                <w:szCs w:val="22"/>
              </w:rPr>
              <w:t>En áreas de entrada y salida al centro de trabajo</w:t>
            </w: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2</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centro de trabajo cuenta con entradas y salidas exclusivas del personal; en caso de que se cuente con un solo acceso, éste se divide por barreras físicas a fin de contar con espacios específicos para el ingreso y salida del personal</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caso de ser posible, cuenta en los accesos al centro de trabajo con tapetes desinfectantes o alternativas similares, o en su caso, se otorgan protectores desechables de calzado.</w:t>
            </w:r>
          </w:p>
          <w:p w:rsidR="000B66B5" w:rsidRPr="00C65076" w:rsidRDefault="000B66B5" w:rsidP="00C65076">
            <w:pPr>
              <w:pStyle w:val="Texto"/>
              <w:spacing w:line="360" w:lineRule="auto"/>
              <w:ind w:firstLine="0"/>
              <w:rPr>
                <w:sz w:val="22"/>
                <w:szCs w:val="22"/>
              </w:rPr>
            </w:pPr>
            <w:r w:rsidRPr="00C65076">
              <w:rPr>
                <w:sz w:val="22"/>
                <w:szCs w:val="22"/>
              </w:rPr>
              <w:t>*</w:t>
            </w:r>
            <w:r w:rsidRPr="00C65076">
              <w:rPr>
                <w:i/>
                <w:sz w:val="22"/>
                <w:szCs w:val="22"/>
              </w:rPr>
              <w:t>No se recomienda el uso de arcos desinfectantes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su caso, los tapetes desinfectantes o alternativas similares hacen uso de hipoclorito de sodio con concentraciones del 0.5</w:t>
            </w:r>
            <w:r w:rsidR="00C65076" w:rsidRPr="00C65076">
              <w:rPr>
                <w:sz w:val="22"/>
                <w:szCs w:val="22"/>
              </w:rPr>
              <w:t xml:space="preserve"> </w:t>
            </w:r>
            <w:r w:rsidRPr="00C65076">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5</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su caso, se repone el líquido desinfectante de los tapetes desinfectantes cada que lo requieren; en caso de jergas saturadas con hipoclorito de sodio al 0.5</w:t>
            </w:r>
            <w:r w:rsidR="00C65076" w:rsidRPr="00C65076">
              <w:rPr>
                <w:sz w:val="22"/>
                <w:szCs w:val="22"/>
              </w:rPr>
              <w:t xml:space="preserve"> </w:t>
            </w:r>
            <w:r w:rsidRPr="00C65076">
              <w:rPr>
                <w:sz w:val="22"/>
                <w:szCs w:val="22"/>
              </w:rPr>
              <w:t>%, se asegura que éstas estén limpias y saturadas de la solución desinfectante. Puede colocarse una jerga limpia y seca para eliminar el exceso del líquido de las suelas de los zapatos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en los accesos con dispensadores de alcohol al 60% o gel desinfectante base alcohol al 60</w:t>
            </w:r>
            <w:r w:rsidR="00C65076" w:rsidRPr="00C65076">
              <w:rPr>
                <w:sz w:val="22"/>
                <w:szCs w:val="22"/>
              </w:rPr>
              <w:t xml:space="preserve"> </w:t>
            </w:r>
            <w:r w:rsidRPr="00C65076">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7</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con sensores de distancia (termómetros o cámaras infrarrojas) para la determinación de la temperatura corporal</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8</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con un área de estancia específica para casos detectados con temperatura corporal mayor a 37.5 °C</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B66B5" w:rsidRPr="00C65076" w:rsidRDefault="000B66B5" w:rsidP="00C65076">
            <w:pPr>
              <w:pStyle w:val="Texto"/>
              <w:spacing w:line="360" w:lineRule="auto"/>
              <w:ind w:firstLine="0"/>
              <w:jc w:val="center"/>
              <w:rPr>
                <w:b/>
                <w:sz w:val="22"/>
                <w:szCs w:val="22"/>
              </w:rPr>
            </w:pPr>
            <w:r w:rsidRPr="00C65076">
              <w:rPr>
                <w:b/>
                <w:sz w:val="22"/>
                <w:szCs w:val="22"/>
              </w:rPr>
              <w:lastRenderedPageBreak/>
              <w:t>Áreas comunes (comedores, vestidores, casilleros, cafeterías, salas de reu</w:t>
            </w:r>
            <w:bookmarkStart w:id="0" w:name="_GoBack"/>
            <w:bookmarkEnd w:id="0"/>
            <w:r w:rsidRPr="00C65076">
              <w:rPr>
                <w:b/>
                <w:sz w:val="22"/>
                <w:szCs w:val="22"/>
              </w:rPr>
              <w:t>niones, salas de espera o área de recepción, etc.)</w:t>
            </w: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9</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en los accesos de las áreas comunes con lavamanos con jabón, agua y toallas de papel desechable, o en su caso, con dispensadores de alcohol al 60% o gel desinfectante base alcohol al 60</w:t>
            </w:r>
            <w:r w:rsidR="00C65076" w:rsidRPr="00C65076">
              <w:rPr>
                <w:sz w:val="22"/>
                <w:szCs w:val="22"/>
              </w:rPr>
              <w:t xml:space="preserve"> </w:t>
            </w:r>
            <w:r w:rsidRPr="00C65076">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10</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Para el caso de vestidores o casilleros, se cuenta con señalizaciones o marcas en el piso indicando el lugar que podrá ocupar la persona trabajadora, respetando siempre la distancia mínima de 1.5 metros entre personas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11</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Para el caso de cafeterías o comedores, se cuenta con barreras físicas en la misma mesa separando a un comensal de otro (las barreras separan el frente y los laterales de cada persona trabajadora), así mismo, la distancia entre mesas asegura la distancia mínima entre personas trabajadoras de 1.5 metros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12</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caso de contar con sistemas de extracción en áreas comunes se deberá vigilar que funcionan adecuadamente y cuentan con cambios de filtros acorde a lo establecido por el proveedor</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13</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con señalización en piso o en asientos de los espacios que deberán ocupar las personas trabajadoras en las salas de reuniones o áreas de espera, cuidando la distancia de al menos 1.5 metros entre personas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14</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áreas comunes se favorece la ventilación natural (vestidores, casilleros, comedores, cafeterías, salas de reuniones, salas de espera o recepción, etc.)</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B66B5" w:rsidRPr="00C65076" w:rsidRDefault="000B66B5" w:rsidP="00C65076">
            <w:pPr>
              <w:pStyle w:val="Texto"/>
              <w:spacing w:line="360" w:lineRule="auto"/>
              <w:ind w:firstLine="0"/>
              <w:jc w:val="center"/>
              <w:rPr>
                <w:b/>
                <w:sz w:val="22"/>
                <w:szCs w:val="22"/>
              </w:rPr>
            </w:pPr>
            <w:r w:rsidRPr="00C65076">
              <w:rPr>
                <w:b/>
                <w:sz w:val="22"/>
                <w:szCs w:val="22"/>
              </w:rPr>
              <w:t>Área de oficinas o administrativas</w:t>
            </w: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15</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los espacios donde se encuentran concentrados dos o más personas trabajadoras a menos de 1.5 metros, las áreas de trabajo se encuentran delimitadas por barreras físicas protegiendo el frente y laterales de las personas trabajadoras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lastRenderedPageBreak/>
              <w:t>16</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Cuenta con señalizaciones o marcas en el piso indicando los lugares de trabajo, respetando siempre la distancia mínima entre cada puesto de trabajo de al menos 1.5 metros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17</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caso de contar con sistemas de extracción en áreas administrativas se deberá vigilar que funcionan adecuadamente y cuentan con cambios de filtros acorde a lo establecido por el proveedor</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18</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Las personas trabajadoras cuentan con dispensadores de alcohol al 60</w:t>
            </w:r>
            <w:r w:rsidR="00C65076" w:rsidRPr="00C65076">
              <w:rPr>
                <w:sz w:val="22"/>
                <w:szCs w:val="22"/>
              </w:rPr>
              <w:t xml:space="preserve"> </w:t>
            </w:r>
            <w:r w:rsidRPr="00C65076">
              <w:rPr>
                <w:sz w:val="22"/>
                <w:szCs w:val="22"/>
              </w:rPr>
              <w:t>% o gel desinfectante base alcohol al 60</w:t>
            </w:r>
            <w:r w:rsidR="00C65076" w:rsidRPr="00C65076">
              <w:rPr>
                <w:sz w:val="22"/>
                <w:szCs w:val="22"/>
              </w:rPr>
              <w:t xml:space="preserve"> </w:t>
            </w:r>
            <w:r w:rsidRPr="00C65076">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19</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áreas administrativas se favorece la ventilación natural en los lugares que es posible</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B66B5" w:rsidRPr="00C65076" w:rsidRDefault="000B66B5" w:rsidP="00C65076">
            <w:pPr>
              <w:pStyle w:val="Texto"/>
              <w:spacing w:line="360" w:lineRule="auto"/>
              <w:ind w:firstLine="0"/>
              <w:jc w:val="center"/>
              <w:rPr>
                <w:b/>
                <w:sz w:val="22"/>
                <w:szCs w:val="22"/>
              </w:rPr>
            </w:pPr>
            <w:r w:rsidRPr="00C65076">
              <w:rPr>
                <w:b/>
                <w:sz w:val="22"/>
                <w:szCs w:val="22"/>
              </w:rPr>
              <w:t>Proceso productivo</w:t>
            </w: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21</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Si la estación de trabajo lo permite, la persona trabajadora cuenta con dispensadores de alcohol al 60% o gel desinfectante base alcohol al 60% en su lugar de trabajo; en caso contrario, los dispensadores de desinfectantes se ubican en los accesos al área donde se desarrolla el proceso productivo</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22</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caso de contar con sistemas de extracción en áreas de proceso productivo, éstos funcionan adecuadamente y cuentan con cambios de filtros acorde a lo establecido por el proveedor</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23</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áreas de proceso productivo se favorece la ventilación natural en los lugares que es posible</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B66B5" w:rsidRPr="00C65076" w:rsidRDefault="000B66B5" w:rsidP="00C65076">
            <w:pPr>
              <w:pStyle w:val="Texto"/>
              <w:spacing w:line="360" w:lineRule="auto"/>
              <w:ind w:firstLine="0"/>
              <w:jc w:val="center"/>
              <w:rPr>
                <w:b/>
                <w:sz w:val="22"/>
                <w:szCs w:val="22"/>
              </w:rPr>
            </w:pPr>
            <w:r w:rsidRPr="00C65076">
              <w:rPr>
                <w:b/>
                <w:sz w:val="22"/>
                <w:szCs w:val="22"/>
              </w:rPr>
              <w:t>Sanitarios</w:t>
            </w: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24</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Los sanitarios cuentan con lavabos en condiciones adecuadas de operación (son funcionales y cuentan con agua y jabón)</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25</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con dispensadores de toallas de papel desechables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26</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los sanitarios se favorece la ventilación natural</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bl>
    <w:p w:rsidR="000B66B5" w:rsidRPr="00C65076" w:rsidRDefault="000B66B5" w:rsidP="00C65076">
      <w:pPr>
        <w:pStyle w:val="Texto"/>
        <w:spacing w:line="360" w:lineRule="auto"/>
        <w:rPr>
          <w:sz w:val="22"/>
          <w:szCs w:val="22"/>
        </w:rPr>
      </w:pPr>
    </w:p>
    <w:p w:rsidR="00C65076" w:rsidRPr="00C65076" w:rsidRDefault="00C65076" w:rsidP="00C65076">
      <w:pPr>
        <w:pStyle w:val="Texto"/>
        <w:spacing w:line="360" w:lineRule="auto"/>
        <w:rPr>
          <w:sz w:val="22"/>
          <w:szCs w:val="22"/>
        </w:rPr>
      </w:pPr>
    </w:p>
    <w:p w:rsidR="000B66B5" w:rsidRPr="00C65076" w:rsidRDefault="000B66B5" w:rsidP="00C65076">
      <w:pPr>
        <w:pStyle w:val="Texto"/>
        <w:spacing w:line="360" w:lineRule="auto"/>
        <w:ind w:firstLine="0"/>
        <w:jc w:val="center"/>
        <w:rPr>
          <w:b/>
          <w:sz w:val="22"/>
          <w:szCs w:val="22"/>
        </w:rPr>
      </w:pPr>
      <w:r w:rsidRPr="00C65076">
        <w:rPr>
          <w:b/>
          <w:sz w:val="22"/>
          <w:szCs w:val="22"/>
        </w:rPr>
        <w:t>Tabla 20. Medidas administrativas u organizaciones</w:t>
      </w:r>
    </w:p>
    <w:tbl>
      <w:tblPr>
        <w:tblW w:w="8712" w:type="dxa"/>
        <w:jc w:val="center"/>
        <w:tblLayout w:type="fixed"/>
        <w:tblCellMar>
          <w:left w:w="70" w:type="dxa"/>
          <w:right w:w="70" w:type="dxa"/>
        </w:tblCellMar>
        <w:tblLook w:val="0000" w:firstRow="0" w:lastRow="0" w:firstColumn="0" w:lastColumn="0" w:noHBand="0" w:noVBand="0"/>
      </w:tblPr>
      <w:tblGrid>
        <w:gridCol w:w="559"/>
        <w:gridCol w:w="6433"/>
        <w:gridCol w:w="573"/>
        <w:gridCol w:w="573"/>
        <w:gridCol w:w="574"/>
      </w:tblGrid>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noWrap/>
          </w:tcPr>
          <w:p w:rsidR="000B66B5" w:rsidRPr="00C65076" w:rsidRDefault="000B66B5" w:rsidP="00C65076">
            <w:pPr>
              <w:pStyle w:val="Texto"/>
              <w:spacing w:line="360" w:lineRule="auto"/>
              <w:ind w:firstLine="0"/>
              <w:jc w:val="center"/>
              <w:rPr>
                <w:b/>
                <w:sz w:val="22"/>
                <w:szCs w:val="22"/>
              </w:rPr>
            </w:pPr>
            <w:r w:rsidRPr="00C65076">
              <w:rPr>
                <w:b/>
                <w:sz w:val="22"/>
                <w:szCs w:val="22"/>
              </w:rPr>
              <w:lastRenderedPageBreak/>
              <w:t>Id</w:t>
            </w:r>
          </w:p>
        </w:tc>
        <w:tc>
          <w:tcPr>
            <w:tcW w:w="6433"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tcPr>
          <w:p w:rsidR="000B66B5" w:rsidRPr="00C65076" w:rsidRDefault="000B66B5" w:rsidP="00C65076">
            <w:pPr>
              <w:pStyle w:val="Texto"/>
              <w:spacing w:line="360" w:lineRule="auto"/>
              <w:ind w:firstLine="0"/>
              <w:jc w:val="center"/>
              <w:rPr>
                <w:b/>
                <w:sz w:val="22"/>
                <w:szCs w:val="22"/>
              </w:rPr>
            </w:pPr>
            <w:r w:rsidRPr="00C65076">
              <w:rPr>
                <w:b/>
                <w:sz w:val="22"/>
                <w:szCs w:val="22"/>
              </w:rPr>
              <w:t>NA</w:t>
            </w:r>
          </w:p>
        </w:tc>
      </w:tr>
      <w:tr w:rsidR="000B66B5" w:rsidRPr="00C65076"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B66B5" w:rsidRPr="00C65076" w:rsidRDefault="000B66B5" w:rsidP="00C65076">
            <w:pPr>
              <w:pStyle w:val="Texto"/>
              <w:spacing w:line="360" w:lineRule="auto"/>
              <w:ind w:firstLine="0"/>
              <w:jc w:val="center"/>
              <w:rPr>
                <w:b/>
                <w:sz w:val="22"/>
                <w:szCs w:val="22"/>
              </w:rPr>
            </w:pPr>
            <w:r w:rsidRPr="00C65076">
              <w:rPr>
                <w:b/>
                <w:sz w:val="22"/>
                <w:szCs w:val="22"/>
              </w:rPr>
              <w:t>Todas las áreas de trabajo</w:t>
            </w: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29</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facilita el teletrabajo a las personas que, por sus condiciones de salud, edad avanzada, embarazo o lactancia lo ameriten</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30</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Si el teletrabajo no es posible, se cuenta con horarios escalonados de ingreso, modificación de turnos, horarios flexibles u otra acción que evite concentraciones de personas trabajadoras en las instalaciones en determinados horarios y espacios de trabajo</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31</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Las reuniones de trabajo se realizan preferentemente por teléfono o videoconferencia, en caso contrario, se cuida la sana distancia, higiene respiratoria, limpieza y desinfección del lugar, mesas, sillas y objetos de uso común, antes y después de cada reunión</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32</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Para el caso de cafeterías o comedores, el personal de caja, cocina y meseros, cuentan con cabello recogido y </w:t>
            </w:r>
            <w:proofErr w:type="spellStart"/>
            <w:r w:rsidRPr="00C65076">
              <w:rPr>
                <w:sz w:val="22"/>
                <w:szCs w:val="22"/>
              </w:rPr>
              <w:t>cubrebocas</w:t>
            </w:r>
            <w:proofErr w:type="spellEnd"/>
            <w:r w:rsidRPr="00C65076">
              <w:rPr>
                <w:sz w:val="22"/>
                <w:szCs w:val="22"/>
              </w:rPr>
              <w:t xml:space="preserve"> </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33</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caso de no contar con barreras físicas, se implementan horarios escalonados en comedor, casilleros, vestidores, cafeterías, etc., que eviten aglomeración de personas trabajadoras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34</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limita la realización de eventos sociales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36</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Cuenta con mecanismos de supervisión o verificación del cumplimiento a los lineamientos de sana distancia (tecnológicos, visuales, documentales, etc.) que deben seguir las personas trabajadoras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37</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supervisa que las soluciones de agua y jabón no se mezclen con algún otro producto químico</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38</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supervisa que la solución de hipoclorito de sodio a 0.5</w:t>
            </w:r>
            <w:r w:rsidR="00C65076" w:rsidRPr="00C65076">
              <w:rPr>
                <w:sz w:val="22"/>
                <w:szCs w:val="22"/>
              </w:rPr>
              <w:t xml:space="preserve"> </w:t>
            </w:r>
            <w:r w:rsidRPr="00C65076">
              <w:rPr>
                <w:sz w:val="22"/>
                <w:szCs w:val="22"/>
              </w:rPr>
              <w:t xml:space="preserve">% (5000 ppm) se prepare de manera diaria y que no se mezcle con ninguna otra sustancia química; en caso de contar con tiras reactivas para la determinación de la concentración de hipoclorito </w:t>
            </w:r>
            <w:r w:rsidRPr="00C65076">
              <w:rPr>
                <w:sz w:val="22"/>
                <w:szCs w:val="22"/>
              </w:rPr>
              <w:lastRenderedPageBreak/>
              <w:t>de sodio en ppm, podrá almacenarse la solución siempre y cuando se asegure no disminuir su concentración en más de un 10</w:t>
            </w:r>
            <w:r w:rsidR="00C65076" w:rsidRPr="00C65076">
              <w:rPr>
                <w:sz w:val="22"/>
                <w:szCs w:val="22"/>
              </w:rPr>
              <w:t xml:space="preserve"> </w:t>
            </w:r>
            <w:r w:rsidRPr="00C65076">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39</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supervisa que los dispensadores de alcohol gel al 60</w:t>
            </w:r>
            <w:r w:rsidR="00C65076" w:rsidRPr="00C65076">
              <w:rPr>
                <w:sz w:val="22"/>
                <w:szCs w:val="22"/>
              </w:rPr>
              <w:t xml:space="preserve"> </w:t>
            </w:r>
            <w:r w:rsidRPr="00C65076">
              <w:rPr>
                <w:sz w:val="22"/>
                <w:szCs w:val="22"/>
              </w:rPr>
              <w:t>% cuenten con las cantidades necesarias por turno de trabajo</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40</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supervisa que los dispensadores de toallas desechables de papel cuenten siempre con disponibilidad para las personas trabajadoras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41</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Cuenta con el suficiente número de contenedores (botes de basura) en diversos puntos para arrojar </w:t>
            </w:r>
            <w:proofErr w:type="spellStart"/>
            <w:r w:rsidRPr="00C65076">
              <w:rPr>
                <w:sz w:val="22"/>
                <w:szCs w:val="22"/>
              </w:rPr>
              <w:t>cubrebocas</w:t>
            </w:r>
            <w:proofErr w:type="spellEnd"/>
            <w:r w:rsidRPr="00C65076">
              <w:rPr>
                <w:sz w:val="22"/>
                <w:szCs w:val="22"/>
              </w:rPr>
              <w:t xml:space="preserve"> usados o maltratados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42</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Promueve y comunica una buena higiene respiratoria en el lugar de trabajo, tal como cubrir la boca y nariz con el codo flexionado o un pañuelo de papel al toser o estornudar</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43</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Recomienda a la persona trabajadora que priorice las opciones de movilidad (traslado de casa al trabajo y viceversa) que faciliten mantener la distancia interpersonal, promoviendo el uso obligado de </w:t>
            </w:r>
            <w:proofErr w:type="spellStart"/>
            <w:r w:rsidRPr="00C65076">
              <w:rPr>
                <w:sz w:val="22"/>
                <w:szCs w:val="22"/>
              </w:rPr>
              <w:t>cubrebocas</w:t>
            </w:r>
            <w:proofErr w:type="spellEnd"/>
            <w:r w:rsidRPr="00C65076">
              <w:rPr>
                <w:sz w:val="22"/>
                <w:szCs w:val="22"/>
              </w:rPr>
              <w:t xml:space="preserve"> y protección ocular o facial durante el trayecto</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44</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En caso de que la empresa cuente con transporte para sus personas trabajadoras, se tienen consideradas medidas que minimizan el riesgo de exposición, tales como: limpieza y desinfección de la unidad antes de subir a las personas trabajadoras, determinación de temperatura corporal antes de subir al autobús (en caso de que se identifique alguna persona trabajadora con temperatura mayor a 37.5 °C no se le permitirá subir, se le solicitará regresar a casa, se tomará registro de sus datos para comunicarlo al área de recursos humanos y servicio médico de la empresa, quien posteriormente lo contactará para dar indicaciones de cuidados de la salud), se otorga desinfectante de manos a las personas trabajadoras al momento de subir al transporte y se refiere el uso obligado de </w:t>
            </w:r>
            <w:proofErr w:type="spellStart"/>
            <w:r w:rsidRPr="00C65076">
              <w:rPr>
                <w:sz w:val="22"/>
                <w:szCs w:val="22"/>
              </w:rPr>
              <w:t>cubrebocas</w:t>
            </w:r>
            <w:proofErr w:type="spellEnd"/>
            <w:r w:rsidRPr="00C65076">
              <w:rPr>
                <w:sz w:val="22"/>
                <w:szCs w:val="22"/>
              </w:rPr>
              <w:t xml:space="preserve"> y protección ocular o facial durante el trayecto</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lastRenderedPageBreak/>
              <w:t>45</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Cuenta con un código de ética que establece lineamientos de no discriminación para las personas que hayan tenido COVID-19 o convivido con algún familiar sospechoso o confirmado</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46</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con lineamientos de restricción de viajes locales o internacionales; en caso de que sea necesario viajar, se cuenta con los lineamientos sobre las medidas preventivas que deben cumplirse antes, durante y posterior al viaje</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47</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informa a las personas trabajadoras que el uso de accesorios (joyería, corbatas) puede ser un reservatorio de virus y demás microorganismos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48</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Se tienen lineamientos sobre no compartir entre las personas trabajadoras: celular, utensilios de cocina, EPP, papelería, plumas, </w:t>
            </w:r>
            <w:proofErr w:type="spellStart"/>
            <w:r w:rsidRPr="00C65076">
              <w:rPr>
                <w:sz w:val="22"/>
                <w:szCs w:val="22"/>
              </w:rPr>
              <w:t>etc</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49</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Se tienen lineamientos para que las personas trabajadoras cuiden la distancia social con sus compañeros de al menos 1.5 metros, así como en aquellos lugares donde no sea factible, se haga uso obligado de </w:t>
            </w:r>
            <w:proofErr w:type="spellStart"/>
            <w:r w:rsidRPr="00C65076">
              <w:rPr>
                <w:sz w:val="22"/>
                <w:szCs w:val="22"/>
              </w:rPr>
              <w:t>cubrebocas</w:t>
            </w:r>
            <w:proofErr w:type="spellEnd"/>
            <w:r w:rsidRPr="00C65076">
              <w:rPr>
                <w:sz w:val="22"/>
                <w:szCs w:val="22"/>
              </w:rPr>
              <w:t xml:space="preserve"> y protección ocular o facial</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50</w:t>
            </w:r>
          </w:p>
        </w:tc>
        <w:tc>
          <w:tcPr>
            <w:tcW w:w="643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Se promueve a través de comunicados (escritos o digitales) el lavado de manos frecuente, higiene respiratoria, sana distancia, </w:t>
            </w:r>
            <w:proofErr w:type="spellStart"/>
            <w:r w:rsidRPr="00C65076">
              <w:rPr>
                <w:sz w:val="22"/>
                <w:szCs w:val="22"/>
              </w:rPr>
              <w:t>etc</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bl>
    <w:p w:rsidR="00C65076" w:rsidRPr="00C65076" w:rsidRDefault="00C65076" w:rsidP="00C65076">
      <w:pPr>
        <w:pStyle w:val="Texto"/>
        <w:spacing w:line="360" w:lineRule="auto"/>
        <w:ind w:firstLine="0"/>
        <w:jc w:val="center"/>
        <w:rPr>
          <w:b/>
          <w:sz w:val="22"/>
          <w:szCs w:val="22"/>
        </w:rPr>
      </w:pPr>
    </w:p>
    <w:p w:rsidR="00C65076" w:rsidRPr="00C65076" w:rsidRDefault="00C65076" w:rsidP="00C65076">
      <w:pPr>
        <w:pStyle w:val="Texto"/>
        <w:spacing w:line="360" w:lineRule="auto"/>
        <w:ind w:firstLine="0"/>
        <w:jc w:val="center"/>
        <w:rPr>
          <w:b/>
          <w:sz w:val="22"/>
          <w:szCs w:val="22"/>
        </w:rPr>
      </w:pPr>
    </w:p>
    <w:p w:rsidR="000B66B5" w:rsidRPr="00C65076" w:rsidRDefault="000B66B5" w:rsidP="00C65076">
      <w:pPr>
        <w:pStyle w:val="Texto"/>
        <w:spacing w:line="360" w:lineRule="auto"/>
        <w:ind w:firstLine="0"/>
        <w:jc w:val="center"/>
        <w:rPr>
          <w:b/>
          <w:sz w:val="22"/>
          <w:szCs w:val="22"/>
        </w:rPr>
      </w:pPr>
      <w:r w:rsidRPr="00C65076">
        <w:rPr>
          <w:b/>
          <w:sz w:val="22"/>
          <w:szCs w:val="22"/>
        </w:rPr>
        <w:t>Tabla 21. Equipo de protección personal</w:t>
      </w:r>
    </w:p>
    <w:tbl>
      <w:tblPr>
        <w:tblW w:w="8712" w:type="dxa"/>
        <w:tblInd w:w="144" w:type="dxa"/>
        <w:tblLayout w:type="fixed"/>
        <w:tblCellMar>
          <w:left w:w="70" w:type="dxa"/>
          <w:right w:w="70" w:type="dxa"/>
        </w:tblCellMar>
        <w:tblLook w:val="0000" w:firstRow="0" w:lastRow="0" w:firstColumn="0" w:lastColumn="0" w:noHBand="0" w:noVBand="0"/>
      </w:tblPr>
      <w:tblGrid>
        <w:gridCol w:w="557"/>
        <w:gridCol w:w="6435"/>
        <w:gridCol w:w="573"/>
        <w:gridCol w:w="573"/>
        <w:gridCol w:w="574"/>
      </w:tblGrid>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Id</w:t>
            </w:r>
          </w:p>
        </w:tc>
        <w:tc>
          <w:tcPr>
            <w:tcW w:w="6435"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NA</w:t>
            </w: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51</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le proporciona a la persona trabajadora el equipo de protección personal acorde al tipo de factor de riesgo al que se encuentra expuesto durante su jornada laboral</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52</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Durante el tiempo que la persona trabajadora no tiene exposición a agentes químicos contaminantes del ambiente laboral, se le proporciona cubre bocas y protección ocular y facial o se cuida la </w:t>
            </w:r>
            <w:r w:rsidRPr="00C65076">
              <w:rPr>
                <w:sz w:val="22"/>
                <w:szCs w:val="22"/>
              </w:rPr>
              <w:lastRenderedPageBreak/>
              <w:t>sana distancia de al menos 1.5 metros entre personas trabajadoras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54</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Para el caso de personas trabajadoras que tienen contacto con público, se les proporciona </w:t>
            </w:r>
            <w:proofErr w:type="spellStart"/>
            <w:r w:rsidRPr="00C65076">
              <w:rPr>
                <w:sz w:val="22"/>
                <w:szCs w:val="22"/>
              </w:rPr>
              <w:t>cubrebocas</w:t>
            </w:r>
            <w:proofErr w:type="spellEnd"/>
            <w:r w:rsidRPr="00C65076">
              <w:rPr>
                <w:sz w:val="22"/>
                <w:szCs w:val="22"/>
              </w:rPr>
              <w:t xml:space="preserve"> y protección ocular o facial (el protector facial u ocular puede omitirse si se cuenta con barreras físicas y se mantiene la distancia de 1.5 metros entre persona trabajadora y cliente)</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55</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Las protecciones oculares o faciales que se otorgan a la persona trabajadora permiten amplia visibilidad, preferentemente con protección lateral y superior y son </w:t>
            </w:r>
            <w:proofErr w:type="spellStart"/>
            <w:r w:rsidRPr="00C65076">
              <w:rPr>
                <w:sz w:val="22"/>
                <w:szCs w:val="22"/>
              </w:rPr>
              <w:t>antiempañantes</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bl>
    <w:p w:rsidR="000B66B5" w:rsidRPr="00C65076" w:rsidRDefault="000B66B5" w:rsidP="00C65076">
      <w:pPr>
        <w:pStyle w:val="Texto"/>
        <w:spacing w:line="360" w:lineRule="auto"/>
        <w:rPr>
          <w:sz w:val="22"/>
          <w:szCs w:val="22"/>
        </w:rPr>
      </w:pPr>
    </w:p>
    <w:p w:rsidR="00C65076" w:rsidRPr="00C65076" w:rsidRDefault="00C65076" w:rsidP="00C65076">
      <w:pPr>
        <w:pStyle w:val="Texto"/>
        <w:spacing w:line="360" w:lineRule="auto"/>
        <w:rPr>
          <w:sz w:val="22"/>
          <w:szCs w:val="22"/>
        </w:rPr>
      </w:pPr>
    </w:p>
    <w:p w:rsidR="000B66B5" w:rsidRPr="00C65076" w:rsidRDefault="000B66B5" w:rsidP="00C65076">
      <w:pPr>
        <w:pStyle w:val="Texto"/>
        <w:spacing w:line="360" w:lineRule="auto"/>
        <w:ind w:firstLine="0"/>
        <w:jc w:val="center"/>
        <w:rPr>
          <w:b/>
          <w:sz w:val="22"/>
          <w:szCs w:val="22"/>
        </w:rPr>
      </w:pPr>
      <w:r w:rsidRPr="00C65076">
        <w:rPr>
          <w:b/>
          <w:sz w:val="22"/>
          <w:szCs w:val="22"/>
        </w:rPr>
        <w:t>Tabla 22. Información y Capacitación</w:t>
      </w:r>
    </w:p>
    <w:tbl>
      <w:tblPr>
        <w:tblW w:w="8712" w:type="dxa"/>
        <w:tblInd w:w="144" w:type="dxa"/>
        <w:tblLayout w:type="fixed"/>
        <w:tblCellMar>
          <w:left w:w="70" w:type="dxa"/>
          <w:right w:w="70" w:type="dxa"/>
        </w:tblCellMar>
        <w:tblLook w:val="0000" w:firstRow="0" w:lastRow="0" w:firstColumn="0" w:lastColumn="0" w:noHBand="0" w:noVBand="0"/>
      </w:tblPr>
      <w:tblGrid>
        <w:gridCol w:w="557"/>
        <w:gridCol w:w="6428"/>
        <w:gridCol w:w="594"/>
        <w:gridCol w:w="566"/>
        <w:gridCol w:w="567"/>
      </w:tblGrid>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Id</w:t>
            </w:r>
          </w:p>
        </w:tc>
        <w:tc>
          <w:tcPr>
            <w:tcW w:w="642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Medida</w:t>
            </w:r>
          </w:p>
        </w:tc>
        <w:tc>
          <w:tcPr>
            <w:tcW w:w="594"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Sí</w:t>
            </w:r>
          </w:p>
        </w:tc>
        <w:tc>
          <w:tcPr>
            <w:tcW w:w="56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No</w:t>
            </w:r>
          </w:p>
        </w:tc>
        <w:tc>
          <w:tcPr>
            <w:tcW w:w="56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NA</w:t>
            </w: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57</w:t>
            </w:r>
          </w:p>
        </w:tc>
        <w:tc>
          <w:tcPr>
            <w:tcW w:w="6428"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Fomentar y brindar confianza para que el personal se retire ante la presencia de síntomas de la enfermedad, a través de la simplificación de trámites de incapacidad y la eliminación de descuentos por ausencia</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58</w:t>
            </w:r>
          </w:p>
        </w:tc>
        <w:tc>
          <w:tcPr>
            <w:tcW w:w="6428"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informa sobre la estrategia de retorno a actividades y la Nueva Normalidad, así como de sus implicaciones en el centro de trabajo</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60</w:t>
            </w:r>
          </w:p>
        </w:tc>
        <w:tc>
          <w:tcPr>
            <w:tcW w:w="6428"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Cuenta con un programa de capacitación y difusión de información que incluya hábitos saludables, estilo de vida, familia, apoyo para el control de enfermedades crónico-degenerativas para evitar complicaciones por COVID-19, higiene de manos, higiene respiratoria, higiene del vestido y sana distancia</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61</w:t>
            </w:r>
          </w:p>
        </w:tc>
        <w:tc>
          <w:tcPr>
            <w:tcW w:w="6428"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En caso de contar con los recursos tecnológicos, da prioridad a éstos para llevar a cabo la capacitación a distancia. Si el centro </w:t>
            </w:r>
            <w:r w:rsidRPr="00C65076">
              <w:rPr>
                <w:sz w:val="22"/>
                <w:szCs w:val="22"/>
              </w:rPr>
              <w:lastRenderedPageBreak/>
              <w:t>de trabajo no cuenta con estos recursos, deberá seleccionar No Aplica</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62</w:t>
            </w:r>
          </w:p>
        </w:tc>
        <w:tc>
          <w:tcPr>
            <w:tcW w:w="6428"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 Cuando la capacitación se realiza de manera presencial se asegura la sana distancia entre las personas trabajadoras, el uso de </w:t>
            </w:r>
            <w:proofErr w:type="spellStart"/>
            <w:r w:rsidRPr="00C65076">
              <w:rPr>
                <w:sz w:val="22"/>
                <w:szCs w:val="22"/>
              </w:rPr>
              <w:t>cubrebocas</w:t>
            </w:r>
            <w:proofErr w:type="spellEnd"/>
            <w:r w:rsidRPr="00C65076">
              <w:rPr>
                <w:sz w:val="22"/>
                <w:szCs w:val="22"/>
              </w:rPr>
              <w:t xml:space="preserve"> durante todo el proceso de capacitación y se provee de gel </w:t>
            </w:r>
            <w:proofErr w:type="spellStart"/>
            <w:r w:rsidRPr="00C65076">
              <w:rPr>
                <w:sz w:val="22"/>
                <w:szCs w:val="22"/>
              </w:rPr>
              <w:t>antibacterial</w:t>
            </w:r>
            <w:proofErr w:type="spellEnd"/>
            <w:r w:rsidRPr="00C65076">
              <w:rPr>
                <w:sz w:val="22"/>
                <w:szCs w:val="22"/>
              </w:rPr>
              <w:t xml:space="preserve"> al ingreso</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63</w:t>
            </w:r>
          </w:p>
        </w:tc>
        <w:tc>
          <w:tcPr>
            <w:tcW w:w="6428"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promueve entre la población trabajadora los principios rectores de este documento, con especial énfasis en la “No Discriminación” para las personas que hayan tenido COVID-19 o hayan convivido con algún familiar que lo tenga o haya tenido</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bl>
    <w:p w:rsidR="00C65076" w:rsidRPr="00C65076" w:rsidRDefault="00C65076" w:rsidP="00C65076">
      <w:pPr>
        <w:pStyle w:val="Texto"/>
        <w:spacing w:line="360" w:lineRule="auto"/>
        <w:ind w:firstLine="0"/>
        <w:jc w:val="center"/>
        <w:rPr>
          <w:b/>
          <w:sz w:val="22"/>
          <w:szCs w:val="22"/>
        </w:rPr>
      </w:pPr>
    </w:p>
    <w:p w:rsidR="00C65076" w:rsidRPr="00C65076" w:rsidRDefault="00C65076" w:rsidP="00C65076">
      <w:pPr>
        <w:pStyle w:val="Texto"/>
        <w:spacing w:line="360" w:lineRule="auto"/>
        <w:ind w:firstLine="0"/>
        <w:jc w:val="center"/>
        <w:rPr>
          <w:b/>
          <w:sz w:val="22"/>
          <w:szCs w:val="22"/>
        </w:rPr>
      </w:pPr>
    </w:p>
    <w:p w:rsidR="000B66B5" w:rsidRPr="00C65076" w:rsidRDefault="000B66B5" w:rsidP="00C65076">
      <w:pPr>
        <w:pStyle w:val="Texto"/>
        <w:spacing w:line="360" w:lineRule="auto"/>
        <w:ind w:firstLine="0"/>
        <w:jc w:val="center"/>
        <w:rPr>
          <w:b/>
          <w:sz w:val="22"/>
          <w:szCs w:val="22"/>
        </w:rPr>
      </w:pPr>
      <w:r w:rsidRPr="00C65076">
        <w:rPr>
          <w:b/>
          <w:sz w:val="22"/>
          <w:szCs w:val="22"/>
        </w:rPr>
        <w:t>Tabla 23. Promoción a la Salud</w:t>
      </w:r>
    </w:p>
    <w:tbl>
      <w:tblPr>
        <w:tblW w:w="8712" w:type="dxa"/>
        <w:tblInd w:w="144" w:type="dxa"/>
        <w:tblLayout w:type="fixed"/>
        <w:tblCellMar>
          <w:left w:w="70" w:type="dxa"/>
          <w:right w:w="70" w:type="dxa"/>
        </w:tblCellMar>
        <w:tblLook w:val="0000" w:firstRow="0" w:lastRow="0" w:firstColumn="0" w:lastColumn="0" w:noHBand="0" w:noVBand="0"/>
      </w:tblPr>
      <w:tblGrid>
        <w:gridCol w:w="557"/>
        <w:gridCol w:w="6435"/>
        <w:gridCol w:w="573"/>
        <w:gridCol w:w="573"/>
        <w:gridCol w:w="574"/>
      </w:tblGrid>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Id</w:t>
            </w:r>
          </w:p>
        </w:tc>
        <w:tc>
          <w:tcPr>
            <w:tcW w:w="6435"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NA</w:t>
            </w: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64</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Cuenta con un programa de salud física y mental para las personas trabajadoras, referente a los cuidados de COVID-19 que incluye un protocolo para manejo de personas trabajadoras sospechosas, contactos, confirmados y su reincorporación laboral; así como de promoción, prevención, atención y seguimiento de los estados de salud en las personas trabajadoras que pueden generar complicaciones por COVID-19</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66</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Cuenta con herramientas que permitan identificar personas trabajadoras con factores de riesgo para complicaciones por COVID-19. Los centros de trabajo podrán hacer uso de la herramienta en el enlace http://imss.gob.mx/covid-19/calculadora-complicaciones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67</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Cuenta con un plan de supervisión y evaluación del programa de salud física y mental para las personas trabajadoras, referente a los cuidados de COVID-19</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68</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Cuenta con lineamientos para identificar y derivar a las personas trabajadoras que tengan problemas de salud mental al servicio </w:t>
            </w:r>
            <w:r w:rsidRPr="00C65076">
              <w:rPr>
                <w:sz w:val="22"/>
                <w:szCs w:val="22"/>
              </w:rPr>
              <w:lastRenderedPageBreak/>
              <w:t>médico o psicológico de la empresa. En caso de no contar con éste se les refiere a los servicios médicos de su centro de seguridad social</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69</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Cuenta con lineamientos para la identificación de factores de riesgo psicosocial, como violencia laboral, carga mental, entorno organizacional, </w:t>
            </w:r>
            <w:proofErr w:type="spellStart"/>
            <w:r w:rsidRPr="00C65076">
              <w:rPr>
                <w:sz w:val="22"/>
                <w:szCs w:val="22"/>
              </w:rPr>
              <w:t>etc</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70</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Realiza exámenes médicos periódicos que permiten la prevención, atención y control de problemas de salud o da las facilidades para que la persona trabajadora pueda acudir a atención médica fuera de la empresa</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72</w:t>
            </w:r>
          </w:p>
        </w:tc>
        <w:tc>
          <w:tcPr>
            <w:tcW w:w="6435"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 xml:space="preserve">Se promueven en las personas trabajadoras medidas de protección en el transporte público y trayecto, como son la práctica de higiene respiratoria, uso de </w:t>
            </w:r>
            <w:proofErr w:type="spellStart"/>
            <w:r w:rsidRPr="00C65076">
              <w:rPr>
                <w:sz w:val="22"/>
                <w:szCs w:val="22"/>
              </w:rPr>
              <w:t>cubrebocas</w:t>
            </w:r>
            <w:proofErr w:type="spellEnd"/>
            <w:r w:rsidRPr="00C65076">
              <w:rPr>
                <w:sz w:val="22"/>
                <w:szCs w:val="22"/>
              </w:rPr>
              <w:t xml:space="preserve"> obligatorio, mantener una sana distancia y hábitos de higiene (no tocarse la cara, con énfasis en nariz, boca y ojos)</w:t>
            </w: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bl>
    <w:p w:rsidR="00C65076" w:rsidRPr="00C65076" w:rsidRDefault="00C65076" w:rsidP="00C65076">
      <w:pPr>
        <w:pStyle w:val="Texto"/>
        <w:spacing w:line="360" w:lineRule="auto"/>
        <w:ind w:firstLine="0"/>
        <w:jc w:val="center"/>
        <w:rPr>
          <w:b/>
          <w:sz w:val="22"/>
          <w:szCs w:val="22"/>
        </w:rPr>
      </w:pPr>
    </w:p>
    <w:p w:rsidR="00C65076" w:rsidRPr="00C65076" w:rsidRDefault="00C65076" w:rsidP="00C65076">
      <w:pPr>
        <w:pStyle w:val="Texto"/>
        <w:spacing w:line="360" w:lineRule="auto"/>
        <w:ind w:firstLine="0"/>
        <w:jc w:val="center"/>
        <w:rPr>
          <w:b/>
          <w:sz w:val="22"/>
          <w:szCs w:val="22"/>
        </w:rPr>
      </w:pPr>
    </w:p>
    <w:p w:rsidR="000B66B5" w:rsidRPr="00C65076" w:rsidRDefault="000B66B5" w:rsidP="00C65076">
      <w:pPr>
        <w:pStyle w:val="Texto"/>
        <w:spacing w:line="360" w:lineRule="auto"/>
        <w:ind w:firstLine="0"/>
        <w:jc w:val="center"/>
        <w:rPr>
          <w:sz w:val="22"/>
          <w:szCs w:val="22"/>
        </w:rPr>
      </w:pPr>
      <w:r w:rsidRPr="00C65076">
        <w:rPr>
          <w:b/>
          <w:sz w:val="22"/>
          <w:szCs w:val="22"/>
        </w:rPr>
        <w:t>Tabla 24. Sistema de Gestión</w:t>
      </w:r>
    </w:p>
    <w:tbl>
      <w:tblPr>
        <w:tblW w:w="8712" w:type="dxa"/>
        <w:tblInd w:w="144" w:type="dxa"/>
        <w:tblLayout w:type="fixed"/>
        <w:tblCellMar>
          <w:left w:w="70" w:type="dxa"/>
          <w:right w:w="70" w:type="dxa"/>
        </w:tblCellMar>
        <w:tblLook w:val="0000" w:firstRow="0" w:lastRow="0" w:firstColumn="0" w:lastColumn="0" w:noHBand="0" w:noVBand="0"/>
      </w:tblPr>
      <w:tblGrid>
        <w:gridCol w:w="557"/>
        <w:gridCol w:w="6374"/>
        <w:gridCol w:w="594"/>
        <w:gridCol w:w="594"/>
        <w:gridCol w:w="593"/>
      </w:tblGrid>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Id</w:t>
            </w:r>
          </w:p>
        </w:tc>
        <w:tc>
          <w:tcPr>
            <w:tcW w:w="6374"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Medida</w:t>
            </w:r>
          </w:p>
        </w:tc>
        <w:tc>
          <w:tcPr>
            <w:tcW w:w="594"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Sí</w:t>
            </w:r>
          </w:p>
        </w:tc>
        <w:tc>
          <w:tcPr>
            <w:tcW w:w="594"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No</w:t>
            </w:r>
          </w:p>
        </w:tc>
        <w:tc>
          <w:tcPr>
            <w:tcW w:w="59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NA</w:t>
            </w: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73</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Sistema de Gestión considera las contingencias sanitarias como una amenaza en caso de hacer uso de FODA o alguna otra herramienta para el análisis de contexto</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74</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Sistema de Gestión incluye la identificación de peligros y evaluación de riesgos relativos a contingencias sanitarias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75</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centro de trabajo cuenta con un procedimiento estructurado de respuesta ante contingencias sanitarias con asignación de responsables, recursos materiales y financieros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sz w:val="22"/>
                <w:szCs w:val="22"/>
              </w:rPr>
            </w:pPr>
            <w:r w:rsidRPr="00C65076">
              <w:rPr>
                <w:b/>
                <w:sz w:val="22"/>
                <w:szCs w:val="22"/>
              </w:rPr>
              <w:t>76</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En caso de poseer un Plan de Continuidad de Negocios (BCP), se tiene considerado el riesgo de contingencias sanitarias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lastRenderedPageBreak/>
              <w:t>77</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mapa de riesgos del centro de trabajo incluye las áreas, puestos de trabajo y/o actividades con riesgos biológicos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78</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diagnóstico de seguridad y salud en el trabajo contempla los agentes biológicos capaces de modificar las condiciones del medio ambiente de trabajo que, por sus propiedades, concentración, nivel y tiempo de exposición o acción, pueden alterar la salud de las personas trabajadoras, así como las fuentes que los generan</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79</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Se cuenta con un programa de seguridad y salud en el trabajo o relación de acciones preventivas y correctivas para contingencias sanitarias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80</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Programa Específico de Protección Civil contempla acciones ante riesgos sanitarios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81</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centro de trabajo tiene adhesión a un Grupo de Ayuda Mutua que dé soporte ante riesgos sanitarios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r w:rsidR="000B66B5" w:rsidRPr="00C65076" w:rsidTr="00C65076">
        <w:trPr>
          <w:trHeight w:val="20"/>
        </w:trPr>
        <w:tc>
          <w:tcPr>
            <w:tcW w:w="557" w:type="dxa"/>
            <w:tcBorders>
              <w:top w:val="single" w:sz="6" w:space="0" w:color="000000"/>
              <w:left w:val="single" w:sz="6" w:space="0" w:color="000000"/>
              <w:bottom w:val="single" w:sz="6" w:space="0" w:color="000000"/>
              <w:right w:val="single" w:sz="6" w:space="0" w:color="000000"/>
            </w:tcBorders>
            <w:vAlign w:val="center"/>
          </w:tcPr>
          <w:p w:rsidR="000B66B5" w:rsidRPr="00C65076" w:rsidRDefault="000B66B5" w:rsidP="00C65076">
            <w:pPr>
              <w:pStyle w:val="Texto"/>
              <w:spacing w:line="360" w:lineRule="auto"/>
              <w:ind w:firstLine="0"/>
              <w:jc w:val="center"/>
              <w:rPr>
                <w:b/>
                <w:sz w:val="22"/>
                <w:szCs w:val="22"/>
              </w:rPr>
            </w:pPr>
            <w:r w:rsidRPr="00C65076">
              <w:rPr>
                <w:b/>
                <w:sz w:val="22"/>
                <w:szCs w:val="22"/>
              </w:rPr>
              <w:t>82</w:t>
            </w:r>
          </w:p>
        </w:tc>
        <w:tc>
          <w:tcPr>
            <w:tcW w:w="637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r w:rsidRPr="00C65076">
              <w:rPr>
                <w:sz w:val="22"/>
                <w:szCs w:val="22"/>
              </w:rPr>
              <w:t>El centro de trabajo posee un listado de teléfonos de emergencia que incluye las instancias de contacto en caso de emergencias sanitarias</w:t>
            </w: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4"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c>
          <w:tcPr>
            <w:tcW w:w="593" w:type="dxa"/>
            <w:tcBorders>
              <w:top w:val="single" w:sz="6" w:space="0" w:color="000000"/>
              <w:left w:val="single" w:sz="6" w:space="0" w:color="000000"/>
              <w:bottom w:val="single" w:sz="6" w:space="0" w:color="000000"/>
              <w:right w:val="single" w:sz="6" w:space="0" w:color="000000"/>
            </w:tcBorders>
          </w:tcPr>
          <w:p w:rsidR="000B66B5" w:rsidRPr="00C65076" w:rsidRDefault="000B66B5" w:rsidP="00C65076">
            <w:pPr>
              <w:pStyle w:val="Texto"/>
              <w:spacing w:line="360" w:lineRule="auto"/>
              <w:ind w:firstLine="0"/>
              <w:rPr>
                <w:sz w:val="22"/>
                <w:szCs w:val="22"/>
              </w:rPr>
            </w:pPr>
          </w:p>
        </w:tc>
      </w:tr>
    </w:tbl>
    <w:p w:rsidR="000B66B5" w:rsidRPr="00C65076" w:rsidRDefault="000B66B5" w:rsidP="00C65076">
      <w:pPr>
        <w:spacing w:line="360" w:lineRule="auto"/>
        <w:rPr>
          <w:rFonts w:ascii="Arial" w:hAnsi="Arial" w:cs="Arial"/>
          <w:sz w:val="22"/>
          <w:szCs w:val="22"/>
        </w:rPr>
      </w:pPr>
    </w:p>
    <w:p w:rsidR="00BD6113" w:rsidRPr="00C65076" w:rsidRDefault="00DA7427" w:rsidP="00C65076">
      <w:pPr>
        <w:spacing w:line="360" w:lineRule="auto"/>
        <w:rPr>
          <w:rFonts w:ascii="Arial" w:hAnsi="Arial" w:cs="Arial"/>
          <w:sz w:val="22"/>
          <w:szCs w:val="22"/>
        </w:rPr>
      </w:pPr>
    </w:p>
    <w:sectPr w:rsidR="00BD6113" w:rsidRPr="00C65076" w:rsidSect="005576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G Palacio (W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ibri">
    <w:altName w:val="Calibri"/>
    <w:panose1 w:val="020B0604020202020204"/>
    <w:charset w:val="00"/>
    <w:family w:val="swiss"/>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Abria">
    <w:panose1 w:val="020B0604020202020204"/>
    <w:charset w:val="00"/>
    <w:family w:val="roman"/>
    <w:notTrueType/>
    <w:pitch w:val="default"/>
    <w:sig w:usb0="00000003" w:usb1="00000000" w:usb2="00000000" w:usb3="00000000" w:csb0="00000001" w:csb1="00000000"/>
  </w:font>
  <w:font w:name="GeArgia">
    <w:altName w:val="Cambria"/>
    <w:panose1 w:val="020B0604020202020204"/>
    <w:charset w:val="00"/>
    <w:family w:val="roman"/>
    <w:notTrueType/>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49741F1"/>
    <w:multiLevelType w:val="hybridMultilevel"/>
    <w:tmpl w:val="38765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76941C3"/>
    <w:multiLevelType w:val="hybridMultilevel"/>
    <w:tmpl w:val="121642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6"/>
    <w:rsid w:val="000B66B5"/>
    <w:rsid w:val="001B7A36"/>
    <w:rsid w:val="0055769F"/>
    <w:rsid w:val="0061524A"/>
    <w:rsid w:val="00C65076"/>
    <w:rsid w:val="00D56840"/>
    <w:rsid w:val="00DA7427"/>
    <w:rsid w:val="00EA1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1575"/>
  <w15:chartTrackingRefBased/>
  <w15:docId w15:val="{61DD462A-017D-374A-B6D5-7323417B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B5"/>
    <w:rPr>
      <w:rFonts w:ascii="Times New Roman" w:eastAsia="Times New Roman" w:hAnsi="Times New Roman" w:cs="Times New Roman"/>
      <w:lang w:val="es-ES" w:eastAsia="es-ES"/>
    </w:rPr>
  </w:style>
  <w:style w:type="paragraph" w:styleId="Ttulo1">
    <w:name w:val="heading 1"/>
    <w:basedOn w:val="Normal"/>
    <w:next w:val="Normal"/>
    <w:link w:val="Ttulo1Car"/>
    <w:qFormat/>
    <w:rsid w:val="000B66B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B66B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B66B5"/>
    <w:pPr>
      <w:keepNext/>
      <w:keepLines/>
      <w:spacing w:before="40" w:line="259" w:lineRule="atLeast"/>
      <w:outlineLvl w:val="2"/>
    </w:pPr>
    <w:rPr>
      <w:rFonts w:ascii="CaAibri" w:hAnsi="CaAibri" w:cs="CaAibri"/>
      <w:color w:val="008080"/>
      <w:szCs w:val="20"/>
      <w:lang w:eastAsia="es-MX"/>
    </w:rPr>
  </w:style>
  <w:style w:type="paragraph" w:styleId="Ttulo4">
    <w:name w:val="heading 4"/>
    <w:basedOn w:val="Normal"/>
    <w:next w:val="Normal"/>
    <w:link w:val="Ttulo4Car"/>
    <w:qFormat/>
    <w:rsid w:val="000B66B5"/>
    <w:pPr>
      <w:ind w:left="682"/>
      <w:jc w:val="both"/>
      <w:outlineLvl w:val="3"/>
    </w:pPr>
    <w:rPr>
      <w:rFonts w:ascii="TiAes New Roman" w:hAnsi="TiAes New Roman" w:cs="TiAes New Roman"/>
      <w:b/>
      <w:sz w:val="22"/>
      <w:szCs w:val="20"/>
      <w:lang w:eastAsia="es-MX"/>
    </w:rPr>
  </w:style>
  <w:style w:type="paragraph" w:styleId="Ttulo5">
    <w:name w:val="heading 5"/>
    <w:basedOn w:val="Normal"/>
    <w:next w:val="Normal"/>
    <w:link w:val="Ttulo5Car"/>
    <w:qFormat/>
    <w:rsid w:val="000B66B5"/>
    <w:pPr>
      <w:keepNext/>
      <w:keepLines/>
      <w:spacing w:before="220" w:after="40"/>
      <w:outlineLvl w:val="4"/>
    </w:pPr>
    <w:rPr>
      <w:rFonts w:ascii="TiAes New Roman" w:hAnsi="TiAes New Roman" w:cs="TiAes New Roman"/>
      <w:b/>
      <w:sz w:val="22"/>
      <w:szCs w:val="20"/>
      <w:lang w:eastAsia="es-MX"/>
    </w:rPr>
  </w:style>
  <w:style w:type="paragraph" w:styleId="Ttulo6">
    <w:name w:val="heading 6"/>
    <w:basedOn w:val="Normal"/>
    <w:next w:val="Normal"/>
    <w:link w:val="Ttulo6Car"/>
    <w:qFormat/>
    <w:rsid w:val="000B66B5"/>
    <w:pPr>
      <w:keepNext/>
      <w:keepLines/>
      <w:spacing w:before="200" w:after="40"/>
      <w:outlineLvl w:val="5"/>
    </w:pPr>
    <w:rPr>
      <w:rFonts w:ascii="TiAes New Roman" w:hAnsi="TiAes New Roman" w:cs="TiAes New Roman"/>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66B5"/>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0B66B5"/>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B66B5"/>
    <w:rPr>
      <w:rFonts w:ascii="CaAibri" w:eastAsia="Times New Roman" w:hAnsi="CaAibri" w:cs="CaAibri"/>
      <w:color w:val="008080"/>
      <w:szCs w:val="20"/>
      <w:lang w:val="es-ES" w:eastAsia="es-MX"/>
    </w:rPr>
  </w:style>
  <w:style w:type="character" w:customStyle="1" w:styleId="Ttulo4Car">
    <w:name w:val="Título 4 Car"/>
    <w:basedOn w:val="Fuentedeprrafopredeter"/>
    <w:link w:val="Ttulo4"/>
    <w:rsid w:val="000B66B5"/>
    <w:rPr>
      <w:rFonts w:ascii="TiAes New Roman" w:eastAsia="Times New Roman" w:hAnsi="TiAes New Roman" w:cs="TiAes New Roman"/>
      <w:b/>
      <w:sz w:val="22"/>
      <w:szCs w:val="20"/>
      <w:lang w:val="es-ES" w:eastAsia="es-MX"/>
    </w:rPr>
  </w:style>
  <w:style w:type="character" w:customStyle="1" w:styleId="Ttulo5Car">
    <w:name w:val="Título 5 Car"/>
    <w:basedOn w:val="Fuentedeprrafopredeter"/>
    <w:link w:val="Ttulo5"/>
    <w:rsid w:val="000B66B5"/>
    <w:rPr>
      <w:rFonts w:ascii="TiAes New Roman" w:eastAsia="Times New Roman" w:hAnsi="TiAes New Roman" w:cs="TiAes New Roman"/>
      <w:b/>
      <w:sz w:val="22"/>
      <w:szCs w:val="20"/>
      <w:lang w:val="es-ES" w:eastAsia="es-MX"/>
    </w:rPr>
  </w:style>
  <w:style w:type="character" w:customStyle="1" w:styleId="Ttulo6Car">
    <w:name w:val="Título 6 Car"/>
    <w:basedOn w:val="Fuentedeprrafopredeter"/>
    <w:link w:val="Ttulo6"/>
    <w:rsid w:val="000B66B5"/>
    <w:rPr>
      <w:rFonts w:ascii="TiAes New Roman" w:eastAsia="Times New Roman" w:hAnsi="TiAes New Roman" w:cs="TiAes New Roman"/>
      <w:b/>
      <w:sz w:val="20"/>
      <w:szCs w:val="20"/>
      <w:lang w:val="es-ES" w:eastAsia="es-MX"/>
    </w:rPr>
  </w:style>
  <w:style w:type="paragraph" w:customStyle="1" w:styleId="Texto">
    <w:name w:val="Texto"/>
    <w:basedOn w:val="Normal"/>
    <w:link w:val="TextoCar"/>
    <w:rsid w:val="000B66B5"/>
    <w:pPr>
      <w:spacing w:after="101" w:line="216" w:lineRule="exact"/>
      <w:ind w:firstLine="288"/>
      <w:jc w:val="both"/>
    </w:pPr>
    <w:rPr>
      <w:rFonts w:ascii="Arial" w:hAnsi="Arial" w:cs="Arial"/>
      <w:sz w:val="18"/>
      <w:szCs w:val="20"/>
    </w:rPr>
  </w:style>
  <w:style w:type="paragraph" w:customStyle="1" w:styleId="CABEZA">
    <w:name w:val="CABEZA"/>
    <w:basedOn w:val="Normal"/>
    <w:rsid w:val="000B66B5"/>
    <w:pPr>
      <w:jc w:val="center"/>
    </w:pPr>
    <w:rPr>
      <w:rFonts w:eastAsia="Calibri" w:cs="Arial"/>
      <w:b/>
      <w:sz w:val="28"/>
      <w:szCs w:val="28"/>
      <w:lang w:val="es-ES_tradnl" w:eastAsia="es-MX"/>
    </w:rPr>
  </w:style>
  <w:style w:type="paragraph" w:customStyle="1" w:styleId="ROMANOS">
    <w:name w:val="ROMANOS"/>
    <w:basedOn w:val="Normal"/>
    <w:link w:val="ROMANOSCar"/>
    <w:rsid w:val="000B66B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B66B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B66B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B66B5"/>
    <w:pPr>
      <w:spacing w:before="101" w:after="101" w:line="216" w:lineRule="atLeast"/>
      <w:jc w:val="center"/>
    </w:pPr>
    <w:rPr>
      <w:b/>
      <w:sz w:val="18"/>
      <w:szCs w:val="20"/>
      <w:lang w:val="es-ES_tradnl"/>
    </w:rPr>
  </w:style>
  <w:style w:type="paragraph" w:customStyle="1" w:styleId="SUBIN">
    <w:name w:val="SUBIN"/>
    <w:basedOn w:val="Texto"/>
    <w:rsid w:val="000B66B5"/>
    <w:pPr>
      <w:ind w:left="1987" w:hanging="720"/>
    </w:pPr>
    <w:rPr>
      <w:lang w:val="es-MX"/>
    </w:rPr>
  </w:style>
  <w:style w:type="paragraph" w:customStyle="1" w:styleId="Titulo1">
    <w:name w:val="Titulo 1"/>
    <w:basedOn w:val="Texto"/>
    <w:rsid w:val="000B66B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B66B5"/>
    <w:pPr>
      <w:pBdr>
        <w:top w:val="double" w:sz="6" w:space="1" w:color="auto"/>
      </w:pBdr>
      <w:spacing w:line="240" w:lineRule="auto"/>
      <w:ind w:firstLine="0"/>
      <w:outlineLvl w:val="1"/>
    </w:pPr>
    <w:rPr>
      <w:lang w:val="es-MX"/>
    </w:rPr>
  </w:style>
  <w:style w:type="paragraph" w:customStyle="1" w:styleId="tt">
    <w:name w:val="tt"/>
    <w:basedOn w:val="Texto"/>
    <w:rsid w:val="000B66B5"/>
    <w:pPr>
      <w:tabs>
        <w:tab w:val="left" w:pos="1320"/>
        <w:tab w:val="left" w:pos="1629"/>
      </w:tabs>
      <w:ind w:left="1647" w:hanging="1440"/>
    </w:pPr>
    <w:rPr>
      <w:lang w:val="es-ES_tradnl"/>
    </w:rPr>
  </w:style>
  <w:style w:type="paragraph" w:customStyle="1" w:styleId="sum">
    <w:name w:val="sum"/>
    <w:basedOn w:val="Texto"/>
    <w:rsid w:val="000B66B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0B66B5"/>
    <w:pPr>
      <w:tabs>
        <w:tab w:val="center" w:pos="4419"/>
        <w:tab w:val="right" w:pos="8838"/>
      </w:tabs>
    </w:pPr>
  </w:style>
  <w:style w:type="character" w:customStyle="1" w:styleId="EncabezadoCar">
    <w:name w:val="Encabezado Car"/>
    <w:basedOn w:val="Fuentedeprrafopredeter"/>
    <w:link w:val="Encabezado"/>
    <w:rsid w:val="000B66B5"/>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0B66B5"/>
    <w:pPr>
      <w:spacing w:after="101" w:line="216" w:lineRule="exact"/>
      <w:jc w:val="both"/>
    </w:pPr>
    <w:rPr>
      <w:rFonts w:ascii="Arial" w:hAnsi="Arial"/>
      <w:sz w:val="18"/>
      <w:szCs w:val="20"/>
      <w:lang w:val="es-MX" w:eastAsia="es-MX"/>
    </w:rPr>
  </w:style>
  <w:style w:type="character" w:customStyle="1" w:styleId="TextoCar">
    <w:name w:val="Texto Car"/>
    <w:link w:val="Texto"/>
    <w:locked/>
    <w:rsid w:val="000B66B5"/>
    <w:rPr>
      <w:rFonts w:ascii="Arial" w:eastAsia="Times New Roman" w:hAnsi="Arial" w:cs="Arial"/>
      <w:sz w:val="18"/>
      <w:szCs w:val="20"/>
      <w:lang w:val="es-ES" w:eastAsia="es-ES"/>
    </w:rPr>
  </w:style>
  <w:style w:type="character" w:customStyle="1" w:styleId="ROMANOSCar">
    <w:name w:val="ROMANOS Car"/>
    <w:link w:val="ROMANOS"/>
    <w:locked/>
    <w:rsid w:val="000B66B5"/>
    <w:rPr>
      <w:rFonts w:ascii="Arial" w:eastAsia="Times New Roman" w:hAnsi="Arial" w:cs="Arial"/>
      <w:sz w:val="18"/>
      <w:szCs w:val="18"/>
      <w:lang w:val="es-ES" w:eastAsia="es-ES"/>
    </w:rPr>
  </w:style>
  <w:style w:type="character" w:customStyle="1" w:styleId="ANOTACIONCar">
    <w:name w:val="ANOTACION Car"/>
    <w:link w:val="ANOTACION"/>
    <w:locked/>
    <w:rsid w:val="000B66B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0B66B5"/>
    <w:pPr>
      <w:tabs>
        <w:tab w:val="center" w:pos="4419"/>
        <w:tab w:val="right" w:pos="8838"/>
      </w:tabs>
    </w:pPr>
  </w:style>
  <w:style w:type="character" w:customStyle="1" w:styleId="PiedepginaCar">
    <w:name w:val="Pie de página Car"/>
    <w:basedOn w:val="Fuentedeprrafopredeter"/>
    <w:link w:val="Piedepgina"/>
    <w:rsid w:val="000B66B5"/>
    <w:rPr>
      <w:rFonts w:ascii="Times New Roman" w:eastAsia="Times New Roman" w:hAnsi="Times New Roman" w:cs="Times New Roman"/>
      <w:lang w:val="es-ES" w:eastAsia="es-ES"/>
    </w:rPr>
  </w:style>
  <w:style w:type="character" w:styleId="Nmerodepgina">
    <w:name w:val="page number"/>
    <w:basedOn w:val="Fuentedeprrafopredeter"/>
    <w:rsid w:val="000B66B5"/>
  </w:style>
  <w:style w:type="paragraph" w:styleId="Textodeglobo">
    <w:name w:val="Balloon Text"/>
    <w:basedOn w:val="Normal"/>
    <w:link w:val="TextodegloboCar"/>
    <w:uiPriority w:val="99"/>
    <w:semiHidden/>
    <w:unhideWhenUsed/>
    <w:rsid w:val="000B66B5"/>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B66B5"/>
    <w:rPr>
      <w:rFonts w:ascii="Segoe UI" w:eastAsia="Calibri" w:hAnsi="Segoe UI" w:cs="Segoe UI"/>
      <w:sz w:val="18"/>
      <w:szCs w:val="18"/>
    </w:rPr>
  </w:style>
  <w:style w:type="paragraph" w:styleId="Sinespaciado">
    <w:name w:val="No Spacing"/>
    <w:uiPriority w:val="1"/>
    <w:qFormat/>
    <w:rsid w:val="000B66B5"/>
    <w:rPr>
      <w:rFonts w:ascii="Calibri" w:eastAsia="Calibri" w:hAnsi="Calibri" w:cs="Times New Roman"/>
      <w:sz w:val="22"/>
      <w:szCs w:val="22"/>
    </w:rPr>
  </w:style>
  <w:style w:type="paragraph" w:styleId="Textocomentario">
    <w:name w:val="annotation text"/>
    <w:basedOn w:val="Normal"/>
    <w:link w:val="TextocomentarioCar"/>
    <w:rsid w:val="000B66B5"/>
    <w:pPr>
      <w:spacing w:after="160"/>
    </w:pPr>
    <w:rPr>
      <w:rFonts w:ascii="CaAbria" w:hAnsi="CaAbria" w:cs="CaAbria"/>
      <w:sz w:val="20"/>
      <w:szCs w:val="20"/>
      <w:lang w:val="es-MX" w:eastAsia="es-MX"/>
    </w:rPr>
  </w:style>
  <w:style w:type="character" w:customStyle="1" w:styleId="TextocomentarioCar">
    <w:name w:val="Texto comentario Car"/>
    <w:basedOn w:val="Fuentedeprrafopredeter"/>
    <w:link w:val="Textocomentario"/>
    <w:rsid w:val="000B66B5"/>
    <w:rPr>
      <w:rFonts w:ascii="CaAbria" w:eastAsia="Times New Roman" w:hAnsi="CaAbria" w:cs="CaAbria"/>
      <w:sz w:val="20"/>
      <w:szCs w:val="20"/>
      <w:lang w:eastAsia="es-MX"/>
    </w:rPr>
  </w:style>
  <w:style w:type="paragraph" w:customStyle="1" w:styleId="Ttulo10">
    <w:name w:val="Título1"/>
    <w:basedOn w:val="Normal"/>
    <w:next w:val="Normal"/>
    <w:rsid w:val="000B66B5"/>
    <w:pPr>
      <w:keepNext/>
      <w:keepLines/>
      <w:spacing w:before="480" w:after="120"/>
    </w:pPr>
    <w:rPr>
      <w:rFonts w:ascii="TiAes New Roman" w:hAnsi="TiAes New Roman" w:cs="TiAes New Roman"/>
      <w:b/>
      <w:sz w:val="72"/>
      <w:szCs w:val="20"/>
      <w:lang w:eastAsia="es-MX"/>
    </w:rPr>
  </w:style>
  <w:style w:type="paragraph" w:styleId="Subttulo">
    <w:name w:val="Subtitle"/>
    <w:basedOn w:val="Normal"/>
    <w:next w:val="Normal"/>
    <w:link w:val="SubttuloCar"/>
    <w:qFormat/>
    <w:rsid w:val="000B66B5"/>
    <w:pPr>
      <w:keepNext/>
      <w:keepLines/>
      <w:spacing w:before="360" w:after="80"/>
    </w:pPr>
    <w:rPr>
      <w:rFonts w:ascii="GeArgia" w:hAnsi="GeArgia" w:cs="GeArgia"/>
      <w:i/>
      <w:color w:val="808080"/>
      <w:sz w:val="48"/>
      <w:szCs w:val="20"/>
      <w:lang w:eastAsia="es-MX"/>
    </w:rPr>
  </w:style>
  <w:style w:type="character" w:customStyle="1" w:styleId="SubttuloCar">
    <w:name w:val="Subtítulo Car"/>
    <w:basedOn w:val="Fuentedeprrafopredeter"/>
    <w:link w:val="Subttulo"/>
    <w:rsid w:val="000B66B5"/>
    <w:rPr>
      <w:rFonts w:ascii="GeArgia" w:eastAsia="Times New Roman" w:hAnsi="GeArgia" w:cs="GeArgia"/>
      <w:i/>
      <w:color w:val="808080"/>
      <w:sz w:val="48"/>
      <w:szCs w:val="20"/>
      <w:lang w:val="es-ES" w:eastAsia="es-MX"/>
    </w:rPr>
  </w:style>
  <w:style w:type="paragraph" w:customStyle="1" w:styleId="Textodeglobo1">
    <w:name w:val="Texto de globo1"/>
    <w:basedOn w:val="Normal"/>
    <w:rsid w:val="000B66B5"/>
    <w:rPr>
      <w:rFonts w:ascii="SeAoe UI" w:hAnsi="SeAoe UI" w:cs="SeAoe UI"/>
      <w:sz w:val="18"/>
      <w:szCs w:val="20"/>
      <w:lang w:eastAsia="es-MX"/>
    </w:rPr>
  </w:style>
  <w:style w:type="paragraph" w:styleId="Prrafodelista">
    <w:name w:val="List Paragraph"/>
    <w:basedOn w:val="Normal"/>
    <w:qFormat/>
    <w:rsid w:val="000B66B5"/>
    <w:pPr>
      <w:ind w:left="1534" w:hanging="706"/>
      <w:jc w:val="both"/>
    </w:pPr>
    <w:rPr>
      <w:rFonts w:ascii="TiAes New Roman" w:hAnsi="TiAes New Roman" w:cs="TiAes New Roman"/>
      <w:sz w:val="22"/>
      <w:szCs w:val="20"/>
      <w:lang w:eastAsia="es-MX"/>
    </w:rPr>
  </w:style>
  <w:style w:type="paragraph" w:customStyle="1" w:styleId="Sumario">
    <w:name w:val="Sumario"/>
    <w:basedOn w:val="Normal"/>
    <w:rsid w:val="000B66B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B66B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2323</Words>
  <Characters>12779</Characters>
  <Application>Microsoft Office Word</Application>
  <DocSecurity>0</DocSecurity>
  <Lines>106</Lines>
  <Paragraphs>30</Paragraphs>
  <ScaleCrop>false</ScaleCrop>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2020-06-01T16:35:00Z</dcterms:created>
  <dcterms:modified xsi:type="dcterms:W3CDTF">2020-06-01T16:58:00Z</dcterms:modified>
</cp:coreProperties>
</file>