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rPr>
      </w:pPr>
      <w:r w:rsidDel="00000000" w:rsidR="00000000" w:rsidRPr="00000000">
        <w:rPr>
          <w:rFonts w:ascii="Verdana" w:cs="Verdana" w:eastAsia="Verdana" w:hAnsi="Verdana"/>
          <w:b w:val="1"/>
          <w:color w:val="0000ff"/>
          <w:rtl w:val="0"/>
        </w:rPr>
        <w:t xml:space="preserve">Resolución por la que se declara el inicio del procedimiento administrativo de examen de vigencia de la cuota compensatoria impuesta a las importaciones de aceite epoxidado de soya, originarias de los Estados Unidos de América, independientemente del país de procedencia</w:t>
      </w:r>
    </w:p>
    <w:p w:rsidR="00000000" w:rsidDel="00000000" w:rsidP="00000000" w:rsidRDefault="00000000" w:rsidRPr="00000000" w14:paraId="00000002">
      <w:pPr>
        <w:jc w:val="center"/>
        <w:rPr>
          <w:rFonts w:ascii="Verdana" w:cs="Verdana" w:eastAsia="Verdana" w:hAnsi="Verdana"/>
          <w:b w:val="1"/>
          <w:color w:val="0000ff"/>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rPr>
      </w:pPr>
      <w:r w:rsidDel="00000000" w:rsidR="00000000" w:rsidRPr="00000000">
        <w:rPr>
          <w:rFonts w:ascii="Verdana" w:cs="Verdana" w:eastAsia="Verdana" w:hAnsi="Verdana"/>
          <w:b w:val="1"/>
          <w:color w:val="0000ff"/>
          <w:rtl w:val="0"/>
        </w:rPr>
        <w:t xml:space="preserve">(DOF del 7 de julio de 2020)</w:t>
      </w:r>
    </w:p>
    <w:p w:rsidR="00000000" w:rsidDel="00000000" w:rsidP="00000000" w:rsidRDefault="00000000" w:rsidRPr="00000000" w14:paraId="00000004">
      <w:pPr>
        <w:jc w:val="center"/>
        <w:rPr>
          <w:rFonts w:ascii="Verdana" w:cs="Verdana" w:eastAsia="Verdana" w:hAnsi="Verdana"/>
          <w:b w:val="1"/>
          <w:color w:val="0000ff"/>
        </w:rPr>
      </w:pPr>
      <w:r w:rsidDel="00000000" w:rsidR="00000000" w:rsidRPr="00000000">
        <w:rPr>
          <w:rtl w:val="0"/>
        </w:rPr>
      </w:r>
    </w:p>
    <w:p w:rsidR="00000000" w:rsidDel="00000000" w:rsidP="00000000" w:rsidRDefault="00000000" w:rsidRPr="00000000" w14:paraId="00000005">
      <w:pPr>
        <w:jc w:val="center"/>
        <w:rPr>
          <w:b w:val="1"/>
          <w:color w:val="2f2f2f"/>
          <w:sz w:val="18"/>
          <w:szCs w:val="18"/>
        </w:rPr>
      </w:pPr>
      <w:r w:rsidDel="00000000" w:rsidR="00000000" w:rsidRPr="00000000">
        <w:rPr>
          <w:b w:val="1"/>
          <w:color w:val="2f2f2f"/>
          <w:sz w:val="18"/>
          <w:szCs w:val="18"/>
          <w:rtl w:val="0"/>
        </w:rPr>
        <w:t xml:space="preserve">Al margen un sello con el Escudo Nacional, que dice: Estados Unidos Mexicanos.- Secretaría de Economía.</w:t>
      </w:r>
    </w:p>
    <w:p w:rsidR="00000000" w:rsidDel="00000000" w:rsidP="00000000" w:rsidRDefault="00000000" w:rsidRPr="00000000" w14:paraId="00000006">
      <w:pPr>
        <w:shd w:fill="ffffff" w:val="clear"/>
        <w:spacing w:after="100" w:lineRule="auto"/>
        <w:ind w:firstLine="280"/>
        <w:jc w:val="both"/>
        <w:rPr>
          <w:color w:val="2f2f2f"/>
          <w:sz w:val="16"/>
          <w:szCs w:val="16"/>
        </w:rPr>
      </w:pPr>
      <w:r w:rsidDel="00000000" w:rsidR="00000000" w:rsidRPr="00000000">
        <w:rPr>
          <w:color w:val="2f2f2f"/>
          <w:sz w:val="16"/>
          <w:szCs w:val="16"/>
          <w:rtl w:val="0"/>
        </w:rPr>
        <w:t xml:space="preserve">RESOLUCIÓN POR LA QUE SE DECLARA EL INICIO DEL PROCEDIMIENTO ADMINISTRATIVO DE EXAMEN DE VIGENCIA DE LA CUOTA COMPENSATORIA IMPUESTA A LAS IMPORTACIONES DE ACEITE EPOXIDADO DE SOYA, ORIGINARIAS DE LOS ESTADOS UNIDOS DE AMÉRICA, INDEPENDIENTEMENTE DEL PAÍS DE PROCEDENCIA</w:t>
      </w:r>
    </w:p>
    <w:p w:rsidR="00000000" w:rsidDel="00000000" w:rsidP="00000000" w:rsidRDefault="00000000" w:rsidRPr="00000000" w14:paraId="0000000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Visto para resolver en la etapa de inicio el expediente administrativo E.C. 15/20 radicado en la Unidad de Prácticas Comerciales Internacionales (UPCI) de la Secretaría de Economía (la "Secretaría"), se emite la presente Resolución de conformidad con los siguientes</w:t>
      </w:r>
    </w:p>
    <w:p w:rsidR="00000000" w:rsidDel="00000000" w:rsidP="00000000" w:rsidRDefault="00000000" w:rsidRPr="00000000" w14:paraId="00000008">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RESULTANDOS</w:t>
      </w:r>
    </w:p>
    <w:p w:rsidR="00000000" w:rsidDel="00000000" w:rsidP="00000000" w:rsidRDefault="00000000" w:rsidRPr="00000000" w14:paraId="00000009">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Resolución final de la investigación antidumping</w:t>
      </w:r>
    </w:p>
    <w:p w:rsidR="00000000" w:rsidDel="00000000" w:rsidP="00000000" w:rsidRDefault="00000000" w:rsidRPr="00000000" w14:paraId="0000000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18"/>
          <w:szCs w:val="18"/>
          <w:rtl w:val="0"/>
        </w:rPr>
        <w:t xml:space="preserve"> El 29 de julio de 2005 se publicó en el Diario Oficial de la Federación (DOF) la Resolución final de la investigación antidumping sobre las importaciones de aceite epoxidado de soya originarias de los Estados Unidos de América (los "Estados Unidos"), independientemente del país de procedencia. Mediante esta Resolución, la Secretaría determinó imponer una cuota compensatoria definitiva de 62.45%.</w:t>
      </w:r>
    </w:p>
    <w:p w:rsidR="00000000" w:rsidDel="00000000" w:rsidP="00000000" w:rsidRDefault="00000000" w:rsidRPr="00000000" w14:paraId="0000000B">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Exámenes de vigencia previos y revisión de oficio</w:t>
      </w:r>
    </w:p>
    <w:p w:rsidR="00000000" w:rsidDel="00000000" w:rsidP="00000000" w:rsidRDefault="00000000" w:rsidRPr="00000000" w14:paraId="0000000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18"/>
          <w:szCs w:val="18"/>
          <w:rtl w:val="0"/>
        </w:rPr>
        <w:t xml:space="preserve"> El 9 de enero de 2012 se publicó en el DOF Resolución final del primer examen de vigencia y de la revisión de oficio. Se determinó continuar la vigencia de la cuota compensatoria por cinco años más.</w:t>
      </w:r>
    </w:p>
    <w:p w:rsidR="00000000" w:rsidDel="00000000" w:rsidP="00000000" w:rsidRDefault="00000000" w:rsidRPr="00000000" w14:paraId="0000000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18"/>
          <w:szCs w:val="18"/>
          <w:rtl w:val="0"/>
        </w:rPr>
        <w:t xml:space="preserve"> El 5 de agosto de 2016 se publicó en el DOF la Resolución final del segundo examen de vigencia. Se determinó continuar la vigencia de la cuota compensatoria por cinco años más.</w:t>
      </w:r>
    </w:p>
    <w:p w:rsidR="00000000" w:rsidDel="00000000" w:rsidP="00000000" w:rsidRDefault="00000000" w:rsidRPr="00000000" w14:paraId="0000000E">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Aviso sobre la vigencia de cuotas compensatorias</w:t>
      </w:r>
    </w:p>
    <w:p w:rsidR="00000000" w:rsidDel="00000000" w:rsidP="00000000" w:rsidRDefault="00000000" w:rsidRPr="00000000" w14:paraId="0000000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18"/>
          <w:szCs w:val="18"/>
          <w:rtl w:val="0"/>
        </w:rPr>
        <w:t xml:space="preserve"> El 28 de agosto de 2019 se publicó en el DOF el Aviso sobre la vigencia de cuotas compensatorias. Por este medio se comunicó a los productores nacionales y a cualquier persona que tuviera interés jurídico, que las cuotas compensatorias definitivas impuestas a los productos listados en dicho Aviso se eliminarían a partir de la fecha de vencimiento que se señaló en el mismo para cada uno, salvo que un productor nacional manifestara por escrito su interés en que se iniciara un procedimiento de examen. El listado incluyó el aceite epoxidado de soya originario de los Estados Unidos, objeto de este examen.</w:t>
      </w:r>
    </w:p>
    <w:p w:rsidR="00000000" w:rsidDel="00000000" w:rsidP="00000000" w:rsidRDefault="00000000" w:rsidRPr="00000000" w14:paraId="00000010">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Manifestación de interés</w:t>
      </w:r>
    </w:p>
    <w:p w:rsidR="00000000" w:rsidDel="00000000" w:rsidP="00000000" w:rsidRDefault="00000000" w:rsidRPr="00000000" w14:paraId="0000001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w:t>
      </w:r>
      <w:r w:rsidDel="00000000" w:rsidR="00000000" w:rsidRPr="00000000">
        <w:rPr>
          <w:color w:val="2f2f2f"/>
          <w:sz w:val="18"/>
          <w:szCs w:val="18"/>
          <w:rtl w:val="0"/>
        </w:rPr>
        <w:t xml:space="preserve"> El 25 de mayo de 2020, Especialidades Industriales y Químicas, S.A. de C.V. ("EIQSA") manifestó su interés en que la Secretaría inicie el examen de vigencia de la cuota compensatoria definitiva impuesta a las importaciones de aceite epoxidado de soya originarias de Estados Unidos. Propuso como periodo de examen el comprendido del 1 de julio de 2019 al 30 de junio de 2020.</w:t>
      </w:r>
    </w:p>
    <w:p w:rsidR="00000000" w:rsidDel="00000000" w:rsidP="00000000" w:rsidRDefault="00000000" w:rsidRPr="00000000" w14:paraId="0000001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w:t>
      </w:r>
      <w:r w:rsidDel="00000000" w:rsidR="00000000" w:rsidRPr="00000000">
        <w:rPr>
          <w:color w:val="2f2f2f"/>
          <w:sz w:val="18"/>
          <w:szCs w:val="18"/>
          <w:rtl w:val="0"/>
        </w:rPr>
        <w:t xml:space="preserve"> EIQSA es una empresa constituida conforme a las leyes mexicanas. Su principal actividad consiste, entre otras, en la fabricación, transformación, maquila y compra venta de productos químicos, polímeros, plásticos y similares. Para acreditar su calidad de productor nacional de aceite epoxidado de soya, presentó cartas de la Asociación Nacional de la Industria Química, A.C., y de la Asociación Nacional de Industrias del Plástico, A.C. del 5 y 19 de mayo de 2020, respectivamente.</w:t>
      </w:r>
    </w:p>
    <w:p w:rsidR="00000000" w:rsidDel="00000000" w:rsidP="00000000" w:rsidRDefault="00000000" w:rsidRPr="00000000" w14:paraId="00000013">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Producto objeto de examen</w:t>
      </w:r>
    </w:p>
    <w:p w:rsidR="00000000" w:rsidDel="00000000" w:rsidP="00000000" w:rsidRDefault="00000000" w:rsidRPr="00000000" w14:paraId="00000014">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1. Descripción del producto</w:t>
      </w:r>
    </w:p>
    <w:p w:rsidR="00000000" w:rsidDel="00000000" w:rsidP="00000000" w:rsidRDefault="00000000" w:rsidRPr="00000000" w14:paraId="0000001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w:t>
      </w:r>
      <w:r w:rsidDel="00000000" w:rsidR="00000000" w:rsidRPr="00000000">
        <w:rPr>
          <w:color w:val="2f2f2f"/>
          <w:sz w:val="18"/>
          <w:szCs w:val="18"/>
          <w:rtl w:val="0"/>
        </w:rPr>
        <w:t xml:space="preserve"> El producto objeto de examen es el aceite epoxidado de soya. Su nombre genérico es aceite epoxidado de soya, pero también se le conoce como ESO o ESBO (por las siglas en inglés de epoxidized soybean oil).</w:t>
      </w:r>
    </w:p>
    <w:p w:rsidR="00000000" w:rsidDel="00000000" w:rsidP="00000000" w:rsidRDefault="00000000" w:rsidRPr="00000000" w14:paraId="0000001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w:t>
      </w:r>
      <w:r w:rsidDel="00000000" w:rsidR="00000000" w:rsidRPr="00000000">
        <w:rPr>
          <w:color w:val="2f2f2f"/>
          <w:sz w:val="18"/>
          <w:szCs w:val="18"/>
          <w:rtl w:val="0"/>
        </w:rPr>
        <w:t xml:space="preserve"> El aceite epoxidado de soya es un triglicérido mixto epóxico que pertenece a la familia de los ésteres epóxicos. La materia prima básica para la producción de aceite epoxidado de soya es el aceite de soya refinado, desodorizado y blanqueado. Se utiliza también en peróxido de hidrógeno, heptano, ácido fórmico y sulfato de sodio.</w:t>
      </w:r>
    </w:p>
    <w:p w:rsidR="00000000" w:rsidDel="00000000" w:rsidP="00000000" w:rsidRDefault="00000000" w:rsidRPr="00000000" w14:paraId="0000001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w:t>
      </w:r>
      <w:r w:rsidDel="00000000" w:rsidR="00000000" w:rsidRPr="00000000">
        <w:rPr>
          <w:color w:val="2f2f2f"/>
          <w:sz w:val="18"/>
          <w:szCs w:val="18"/>
          <w:rtl w:val="0"/>
        </w:rPr>
        <w:t xml:space="preserve"> Las especificaciones técnicas que lo identifican son: color gardner máximo de 1, gravedad específica de 0.985 a 0.996 g/cm, viscosidad en un intervalo de 300 a 550 centipoise, índice de refracción de 1.47 a 1.473, índice de acidez de 1 mg KOH/g y color alpha y humedad de 0.4%. Sus características químicas más importantes son el índice de oxirano (Epoxi) de 6.2% a 7% y el índice de yodo (Wijs) máximo de 2%.</w:t>
      </w:r>
    </w:p>
    <w:p w:rsidR="00000000" w:rsidDel="00000000" w:rsidP="00000000" w:rsidRDefault="00000000" w:rsidRPr="00000000" w14:paraId="00000018">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2. Tratamiento arancelario</w:t>
      </w:r>
    </w:p>
    <w:p w:rsidR="00000000" w:rsidDel="00000000" w:rsidP="00000000" w:rsidRDefault="00000000" w:rsidRPr="00000000" w14:paraId="0000001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w:t>
      </w:r>
      <w:r w:rsidDel="00000000" w:rsidR="00000000" w:rsidRPr="00000000">
        <w:rPr>
          <w:color w:val="2f2f2f"/>
          <w:sz w:val="18"/>
          <w:szCs w:val="18"/>
          <w:rtl w:val="0"/>
        </w:rPr>
        <w:t xml:space="preserve"> El producto objeto de examen ingresa al mercado nacional a través de la fracción arancelaria 1518.00.02 de la Tarifa de la Ley de los Impuestos Generales de Importación y de Exportación (TIGIE), cuya descripción es la siguiente:</w:t>
      </w:r>
    </w:p>
    <w:tbl>
      <w:tblPr>
        <w:tblStyle w:val="Table1"/>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05"/>
        <w:gridCol w:w="6000"/>
        <w:tblGridChange w:id="0">
          <w:tblGrid>
            <w:gridCol w:w="2805"/>
            <w:gridCol w:w="6000"/>
          </w:tblGrid>
        </w:tblGridChange>
      </w:tblGrid>
      <w:tr>
        <w:trPr>
          <w:trHeight w:val="575" w:hRule="atLeast"/>
        </w:trPr>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01A">
            <w:pPr>
              <w:shd w:fill="ffffff" w:val="clear"/>
              <w:spacing w:after="100" w:lineRule="auto"/>
              <w:ind w:left="80" w:firstLine="0"/>
              <w:jc w:val="center"/>
              <w:rPr>
                <w:b w:val="1"/>
                <w:color w:val="2f2f2f"/>
                <w:sz w:val="18"/>
                <w:szCs w:val="18"/>
              </w:rPr>
            </w:pPr>
            <w:r w:rsidDel="00000000" w:rsidR="00000000" w:rsidRPr="00000000">
              <w:rPr>
                <w:b w:val="1"/>
                <w:color w:val="2f2f2f"/>
                <w:sz w:val="18"/>
                <w:szCs w:val="18"/>
                <w:rtl w:val="0"/>
              </w:rPr>
              <w:t xml:space="preserve">Codificación arancelaria</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01B">
            <w:pPr>
              <w:shd w:fill="ffffff" w:val="clear"/>
              <w:spacing w:after="100" w:lineRule="auto"/>
              <w:ind w:left="80" w:firstLine="0"/>
              <w:jc w:val="center"/>
              <w:rPr>
                <w:b w:val="1"/>
                <w:color w:val="2f2f2f"/>
                <w:sz w:val="18"/>
                <w:szCs w:val="18"/>
              </w:rPr>
            </w:pPr>
            <w:r w:rsidDel="00000000" w:rsidR="00000000" w:rsidRPr="00000000">
              <w:rPr>
                <w:b w:val="1"/>
                <w:color w:val="2f2f2f"/>
                <w:sz w:val="18"/>
                <w:szCs w:val="18"/>
                <w:rtl w:val="0"/>
              </w:rPr>
              <w:t xml:space="preserve">Descripción</w:t>
            </w:r>
          </w:p>
        </w:tc>
      </w:tr>
      <w:tr>
        <w:trPr>
          <w:trHeight w:val="96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1C">
            <w:pPr>
              <w:shd w:fill="ffffff" w:val="clear"/>
              <w:spacing w:after="100" w:lineRule="auto"/>
              <w:ind w:left="80" w:firstLine="0"/>
              <w:jc w:val="both"/>
              <w:rPr>
                <w:color w:val="2f2f2f"/>
                <w:sz w:val="18"/>
                <w:szCs w:val="18"/>
              </w:rPr>
            </w:pPr>
            <w:r w:rsidDel="00000000" w:rsidR="00000000" w:rsidRPr="00000000">
              <w:rPr>
                <w:color w:val="2f2f2f"/>
                <w:sz w:val="18"/>
                <w:szCs w:val="18"/>
                <w:rtl w:val="0"/>
              </w:rPr>
              <w:t xml:space="preserve">Capítulo 15</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1D">
            <w:pPr>
              <w:shd w:fill="ffffff" w:val="clear"/>
              <w:spacing w:after="100" w:lineRule="auto"/>
              <w:ind w:left="80" w:firstLine="0"/>
              <w:jc w:val="both"/>
              <w:rPr>
                <w:color w:val="2f2f2f"/>
                <w:sz w:val="18"/>
                <w:szCs w:val="18"/>
              </w:rPr>
            </w:pPr>
            <w:r w:rsidDel="00000000" w:rsidR="00000000" w:rsidRPr="00000000">
              <w:rPr>
                <w:color w:val="2f2f2f"/>
                <w:sz w:val="18"/>
                <w:szCs w:val="18"/>
                <w:rtl w:val="0"/>
              </w:rPr>
              <w:t xml:space="preserve">Grasas y aceites animales o vegetales; productos de su desdoblamiento; grasas alimenticias elaboradas; ceras de origen animal o vegetal.</w:t>
            </w:r>
          </w:p>
        </w:tc>
      </w:tr>
      <w:tr>
        <w:trPr>
          <w:trHeight w:val="213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1E">
            <w:pPr>
              <w:shd w:fill="ffffff" w:val="clear"/>
              <w:spacing w:after="100" w:lineRule="auto"/>
              <w:ind w:left="80" w:firstLine="0"/>
              <w:jc w:val="both"/>
              <w:rPr>
                <w:color w:val="2f2f2f"/>
                <w:sz w:val="18"/>
                <w:szCs w:val="18"/>
              </w:rPr>
            </w:pPr>
            <w:r w:rsidDel="00000000" w:rsidR="00000000" w:rsidRPr="00000000">
              <w:rPr>
                <w:color w:val="2f2f2f"/>
                <w:sz w:val="18"/>
                <w:szCs w:val="18"/>
                <w:rtl w:val="0"/>
              </w:rPr>
              <w:t xml:space="preserve">Partida 1518</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1F">
            <w:pPr>
              <w:shd w:fill="ffffff" w:val="clear"/>
              <w:spacing w:after="100" w:lineRule="auto"/>
              <w:ind w:left="80" w:firstLine="0"/>
              <w:jc w:val="both"/>
              <w:rPr>
                <w:color w:val="2f2f2f"/>
                <w:sz w:val="18"/>
                <w:szCs w:val="18"/>
              </w:rPr>
            </w:pPr>
            <w:r w:rsidDel="00000000" w:rsidR="00000000" w:rsidRPr="00000000">
              <w:rPr>
                <w:color w:val="2f2f2f"/>
                <w:sz w:val="18"/>
                <w:szCs w:val="18"/>
                <w:rtl w:val="0"/>
              </w:rPr>
              <w:t xml:space="preserve">Grasas y aceites, animales o vegetales, y sus fracciones, cocidos, oxidados, deshidratados, sulfurados, soplados, polimerizados por calor en vacío o atmósfera inerte ("estandolizados"), o modificados químicamente de otra forma, excepto los de la partida 15.16; mezclas o preparaciones no alimenticias de grasas o de aceites, animales o vegetales, o de fracciones de diferentes grasas o aceites de este Capítulo, no expresadas ni comprendidas en otra parte.</w:t>
            </w:r>
          </w:p>
        </w:tc>
      </w:tr>
      <w:tr>
        <w:trPr>
          <w:trHeight w:val="213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20">
            <w:pPr>
              <w:shd w:fill="ffffff" w:val="clear"/>
              <w:spacing w:after="100" w:lineRule="auto"/>
              <w:ind w:left="80" w:firstLine="0"/>
              <w:jc w:val="both"/>
              <w:rPr>
                <w:color w:val="2f2f2f"/>
                <w:sz w:val="18"/>
                <w:szCs w:val="18"/>
              </w:rPr>
            </w:pPr>
            <w:r w:rsidDel="00000000" w:rsidR="00000000" w:rsidRPr="00000000">
              <w:rPr>
                <w:color w:val="2f2f2f"/>
                <w:sz w:val="18"/>
                <w:szCs w:val="18"/>
                <w:rtl w:val="0"/>
              </w:rPr>
              <w:t xml:space="preserve">Subpartida 1518.00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21">
            <w:pPr>
              <w:shd w:fill="ffffff" w:val="clear"/>
              <w:spacing w:after="100" w:lineRule="auto"/>
              <w:ind w:left="80" w:firstLine="0"/>
              <w:jc w:val="both"/>
              <w:rPr>
                <w:color w:val="2f2f2f"/>
                <w:sz w:val="18"/>
                <w:szCs w:val="18"/>
              </w:rPr>
            </w:pPr>
            <w:r w:rsidDel="00000000" w:rsidR="00000000" w:rsidRPr="00000000">
              <w:rPr>
                <w:color w:val="2f2f2f"/>
                <w:sz w:val="18"/>
                <w:szCs w:val="18"/>
                <w:rtl w:val="0"/>
              </w:rPr>
              <w:t xml:space="preserve">Grasas y aceites, animales o vegetales, y sus fracciones, cocidos, oxidados, deshidratados, sulfurados, soplados, polimerizados por calor en vacío o atmósfera inerte ("estandolizados"), o modificados químicamente de otra forma, excepto los de la partida 15.16; mezclas o preparaciones no alimenticias de grasas o de aceites, animales o vegetales, o de fracciones de diferentes grasas o aceites de este Capítulo, no expresadas ni comprendidas en otra parte.</w:t>
            </w:r>
          </w:p>
        </w:tc>
      </w:tr>
      <w:tr>
        <w:trPr>
          <w:trHeight w:val="575" w:hRule="atLeast"/>
        </w:trPr>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022">
            <w:pPr>
              <w:shd w:fill="ffffff" w:val="clear"/>
              <w:spacing w:after="100" w:lineRule="auto"/>
              <w:ind w:left="80" w:firstLine="0"/>
              <w:jc w:val="both"/>
              <w:rPr>
                <w:color w:val="2f2f2f"/>
                <w:sz w:val="18"/>
                <w:szCs w:val="18"/>
              </w:rPr>
            </w:pPr>
            <w:r w:rsidDel="00000000" w:rsidR="00000000" w:rsidRPr="00000000">
              <w:rPr>
                <w:color w:val="2f2f2f"/>
                <w:sz w:val="18"/>
                <w:szCs w:val="18"/>
                <w:rtl w:val="0"/>
              </w:rPr>
              <w:t xml:space="preserve">Fracción 1518.00.02</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023">
            <w:pPr>
              <w:shd w:fill="ffffff" w:val="clear"/>
              <w:spacing w:after="100" w:lineRule="auto"/>
              <w:ind w:left="80" w:firstLine="0"/>
              <w:jc w:val="both"/>
              <w:rPr>
                <w:color w:val="2f2f2f"/>
                <w:sz w:val="18"/>
                <w:szCs w:val="18"/>
              </w:rPr>
            </w:pPr>
            <w:r w:rsidDel="00000000" w:rsidR="00000000" w:rsidRPr="00000000">
              <w:rPr>
                <w:color w:val="2f2f2f"/>
                <w:sz w:val="18"/>
                <w:szCs w:val="18"/>
                <w:rtl w:val="0"/>
              </w:rPr>
              <w:t xml:space="preserve">Aceites animales o vegetales epoxidados.</w:t>
            </w:r>
          </w:p>
        </w:tc>
      </w:tr>
    </w:tbl>
    <w:p w:rsidR="00000000" w:rsidDel="00000000" w:rsidP="00000000" w:rsidRDefault="00000000" w:rsidRPr="00000000" w14:paraId="00000024">
      <w:pPr>
        <w:shd w:fill="ffffff" w:val="clear"/>
        <w:spacing w:after="100" w:before="20" w:lineRule="auto"/>
        <w:ind w:firstLine="280"/>
        <w:jc w:val="both"/>
        <w:rPr>
          <w:color w:val="2f2f2f"/>
          <w:sz w:val="16"/>
          <w:szCs w:val="16"/>
        </w:rPr>
      </w:pPr>
      <w:r w:rsidDel="00000000" w:rsidR="00000000" w:rsidRPr="00000000">
        <w:rPr>
          <w:color w:val="2f2f2f"/>
          <w:sz w:val="16"/>
          <w:szCs w:val="16"/>
          <w:rtl w:val="0"/>
        </w:rPr>
        <w:t xml:space="preserve">Fuente: Sistema de Información Arancelaria Vía Internet (SIAVI).</w:t>
      </w:r>
    </w:p>
    <w:p w:rsidR="00000000" w:rsidDel="00000000" w:rsidP="00000000" w:rsidRDefault="00000000" w:rsidRPr="00000000" w14:paraId="0000002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w:t>
      </w:r>
      <w:r w:rsidDel="00000000" w:rsidR="00000000" w:rsidRPr="00000000">
        <w:rPr>
          <w:color w:val="2f2f2f"/>
          <w:sz w:val="18"/>
          <w:szCs w:val="18"/>
          <w:rtl w:val="0"/>
        </w:rPr>
        <w:t xml:space="preserve"> La unidad de medida que utiliza la TIGIE es el kilogramo.</w:t>
      </w:r>
    </w:p>
    <w:p w:rsidR="00000000" w:rsidDel="00000000" w:rsidP="00000000" w:rsidRDefault="00000000" w:rsidRPr="00000000" w14:paraId="0000002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w:t>
      </w:r>
      <w:r w:rsidDel="00000000" w:rsidR="00000000" w:rsidRPr="00000000">
        <w:rPr>
          <w:color w:val="2f2f2f"/>
          <w:sz w:val="18"/>
          <w:szCs w:val="18"/>
          <w:rtl w:val="0"/>
        </w:rPr>
        <w:t xml:space="preserve"> De acuerdo con el SIAVI, las importaciones de la mercancía objeto de este procedimiento, están sujetas al pago de un arancel de 15%, a excepción de los países con los que México tiene tratados comerciales, cuyas mercancías están exentos del mismo. Sin embargo, de acuerdo con el Tratado Integral y Progresista de Asociación Transpacífico, las mercancías que ingresen por la fracción arancelaria señalada anteriormente, originarias de Vietnam están sujetas al pago de un arancel del 12%; mientras que, de conformidad con el Acuerdo de Integración Comercial con Perú, las mercancías originarias de dicho país están sujetas al pago de un arancel del 10.5%.</w:t>
      </w:r>
    </w:p>
    <w:p w:rsidR="00000000" w:rsidDel="00000000" w:rsidP="00000000" w:rsidRDefault="00000000" w:rsidRPr="00000000" w14:paraId="00000027">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3. Proceso productivo</w:t>
      </w:r>
    </w:p>
    <w:p w:rsidR="00000000" w:rsidDel="00000000" w:rsidP="00000000" w:rsidRDefault="00000000" w:rsidRPr="00000000" w14:paraId="0000002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w:t>
      </w:r>
      <w:r w:rsidDel="00000000" w:rsidR="00000000" w:rsidRPr="00000000">
        <w:rPr>
          <w:color w:val="2f2f2f"/>
          <w:sz w:val="18"/>
          <w:szCs w:val="18"/>
          <w:rtl w:val="0"/>
        </w:rPr>
        <w:t xml:space="preserve"> El aceite epoxidado de soya se obtiene por medio de un proceso por lotes, que se lleva a cabo a presión atmosférica. La carga de los reactivos se realiza en vacío, a excepción del peróxido de hidrógeno, que se dosifica por gravedad al interior del reactor. En primer lugar, se cargan el aceite de soya, el heptano y el ácido fórmico. Después, por medio de un serpentín, se aplica vapor para calentar los reactivos a 50 grados centígrados. Posteriormente, se detiene el calentamiento y por gravedad se inicia la dosificación del peróxido de hidrógeno lentamente, ya que la reacción es exotérmica (genera energía). La temperatura se controla alimentando agua de enfriamiento al serpentín. Al término de la dosificación se inicia la verificación del avance de la reacción por medio de análisis químicos, periódicos, hasta que el índice de yodo indica que la reacción ha finalizado. Se enfría el sistema, se elimina la fase acuosa y se neutraliza la acidez del producto. La eliminación de humedad y solvente se lleva a cabo mediante calentamiento y aplicación de vacío al sistema.</w:t>
      </w:r>
    </w:p>
    <w:p w:rsidR="00000000" w:rsidDel="00000000" w:rsidP="00000000" w:rsidRDefault="00000000" w:rsidRPr="00000000" w14:paraId="00000029">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4. Normas</w:t>
      </w:r>
    </w:p>
    <w:p w:rsidR="00000000" w:rsidDel="00000000" w:rsidP="00000000" w:rsidRDefault="00000000" w:rsidRPr="00000000" w14:paraId="0000002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w:t>
      </w:r>
      <w:r w:rsidDel="00000000" w:rsidR="00000000" w:rsidRPr="00000000">
        <w:rPr>
          <w:color w:val="2f2f2f"/>
          <w:sz w:val="18"/>
          <w:szCs w:val="18"/>
          <w:rtl w:val="0"/>
        </w:rPr>
        <w:t xml:space="preserve"> En el ámbito internacional la calidad del aceite epoxidado de soya se rige por las propiedades establecidas en las siguientes normas de la Sociedad Americana para Pruebas y Materiales (ASTM, por las siglas en inglés de "American Society for Testing and Materials"): D-1554 para el color gardner, D-1298 para la gravedad específica, D-4878-98 para la viscosidad, D-1807 y D-1218 para el índice de refracción, D-2288 para volátiles, D-1045 y D-4662-98 para el índice de acidez, D-1652-97-B para el índice de oxirano, D-1045-90 para el color alpha y D-1364-55T para la humedad.</w:t>
      </w:r>
    </w:p>
    <w:p w:rsidR="00000000" w:rsidDel="00000000" w:rsidP="00000000" w:rsidRDefault="00000000" w:rsidRPr="00000000" w14:paraId="0000002B">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5. Usos y funciones</w:t>
      </w:r>
    </w:p>
    <w:p w:rsidR="00000000" w:rsidDel="00000000" w:rsidP="00000000" w:rsidRDefault="00000000" w:rsidRPr="00000000" w14:paraId="0000002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w:t>
      </w:r>
      <w:r w:rsidDel="00000000" w:rsidR="00000000" w:rsidRPr="00000000">
        <w:rPr>
          <w:color w:val="2f2f2f"/>
          <w:sz w:val="18"/>
          <w:szCs w:val="18"/>
          <w:rtl w:val="0"/>
        </w:rPr>
        <w:t xml:space="preserve"> El aceite epoxidado de soya se utiliza como agente plastificante o coestabilizador en las formulaciones o compuestos de policloruro de vinilo (PVC) y sus copolímeros, ya que evita que el PVC se degrade durante los diferentes procesos de transformación. También se utiliza como un medio de dispersión de pigmentos y como un agente enmascarante de ácido en compuestos de tinta de soya. Es compatible con el hule clorado, nitrocelulosa, neopreno y emulsiones de PVC y acetato de polivinilo (PVA).</w:t>
      </w:r>
    </w:p>
    <w:p w:rsidR="00000000" w:rsidDel="00000000" w:rsidP="00000000" w:rsidRDefault="00000000" w:rsidRPr="00000000" w14:paraId="0000002D">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Posibles partes interesadas</w:t>
      </w:r>
    </w:p>
    <w:p w:rsidR="00000000" w:rsidDel="00000000" w:rsidP="00000000" w:rsidRDefault="00000000" w:rsidRPr="00000000" w14:paraId="0000002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w:t>
      </w:r>
      <w:r w:rsidDel="00000000" w:rsidR="00000000" w:rsidRPr="00000000">
        <w:rPr>
          <w:color w:val="2f2f2f"/>
          <w:sz w:val="18"/>
          <w:szCs w:val="18"/>
          <w:rtl w:val="0"/>
        </w:rPr>
        <w:t xml:space="preserve"> Las partes de que la Secretaría tiene conocimiento y que podrían tener interés en comparecer al presente procedimiento, son las siguientes:</w:t>
      </w:r>
    </w:p>
    <w:p w:rsidR="00000000" w:rsidDel="00000000" w:rsidP="00000000" w:rsidRDefault="00000000" w:rsidRPr="00000000" w14:paraId="0000002F">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1. Productoras nacionales</w:t>
      </w:r>
    </w:p>
    <w:p w:rsidR="00000000" w:rsidDel="00000000" w:rsidP="00000000" w:rsidRDefault="00000000" w:rsidRPr="00000000" w14:paraId="00000030">
      <w:pPr>
        <w:shd w:fill="ffffff" w:val="clear"/>
        <w:ind w:firstLine="280"/>
        <w:jc w:val="both"/>
        <w:rPr>
          <w:color w:val="2f2f2f"/>
          <w:sz w:val="18"/>
          <w:szCs w:val="18"/>
        </w:rPr>
      </w:pPr>
      <w:r w:rsidDel="00000000" w:rsidR="00000000" w:rsidRPr="00000000">
        <w:rPr>
          <w:color w:val="2f2f2f"/>
          <w:sz w:val="18"/>
          <w:szCs w:val="18"/>
          <w:rtl w:val="0"/>
        </w:rPr>
        <w:t xml:space="preserve">Especialidades Industriales y Químicas, S.A. de C.V.</w:t>
      </w:r>
    </w:p>
    <w:p w:rsidR="00000000" w:rsidDel="00000000" w:rsidP="00000000" w:rsidRDefault="00000000" w:rsidRPr="00000000" w14:paraId="00000031">
      <w:pPr>
        <w:shd w:fill="ffffff" w:val="clear"/>
        <w:ind w:firstLine="280"/>
        <w:jc w:val="both"/>
        <w:rPr>
          <w:color w:val="2f2f2f"/>
          <w:sz w:val="18"/>
          <w:szCs w:val="18"/>
        </w:rPr>
      </w:pPr>
      <w:r w:rsidDel="00000000" w:rsidR="00000000" w:rsidRPr="00000000">
        <w:rPr>
          <w:color w:val="2f2f2f"/>
          <w:sz w:val="18"/>
          <w:szCs w:val="18"/>
          <w:rtl w:val="0"/>
        </w:rPr>
        <w:t xml:space="preserve">Paseo de España No. 90, Interior PH 2</w:t>
      </w:r>
    </w:p>
    <w:p w:rsidR="00000000" w:rsidDel="00000000" w:rsidP="00000000" w:rsidRDefault="00000000" w:rsidRPr="00000000" w14:paraId="00000032">
      <w:pPr>
        <w:shd w:fill="ffffff" w:val="clear"/>
        <w:ind w:firstLine="280"/>
        <w:jc w:val="both"/>
        <w:rPr>
          <w:color w:val="2f2f2f"/>
          <w:sz w:val="18"/>
          <w:szCs w:val="18"/>
        </w:rPr>
      </w:pPr>
      <w:r w:rsidDel="00000000" w:rsidR="00000000" w:rsidRPr="00000000">
        <w:rPr>
          <w:color w:val="2f2f2f"/>
          <w:sz w:val="18"/>
          <w:szCs w:val="18"/>
          <w:rtl w:val="0"/>
        </w:rPr>
        <w:t xml:space="preserve">Col. Lomas Verdes, Tercera Sección</w:t>
      </w:r>
    </w:p>
    <w:p w:rsidR="00000000" w:rsidDel="00000000" w:rsidP="00000000" w:rsidRDefault="00000000" w:rsidRPr="00000000" w14:paraId="0000003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C.P. 53125, Naucalpan de Juárez, Estado de México</w:t>
      </w:r>
    </w:p>
    <w:p w:rsidR="00000000" w:rsidDel="00000000" w:rsidP="00000000" w:rsidRDefault="00000000" w:rsidRPr="00000000" w14:paraId="00000034">
      <w:pPr>
        <w:shd w:fill="ffffff" w:val="clear"/>
        <w:ind w:firstLine="280"/>
        <w:jc w:val="both"/>
        <w:rPr>
          <w:color w:val="2f2f2f"/>
          <w:sz w:val="18"/>
          <w:szCs w:val="18"/>
        </w:rPr>
      </w:pPr>
      <w:r w:rsidDel="00000000" w:rsidR="00000000" w:rsidRPr="00000000">
        <w:rPr>
          <w:color w:val="2f2f2f"/>
          <w:sz w:val="18"/>
          <w:szCs w:val="18"/>
          <w:rtl w:val="0"/>
        </w:rPr>
        <w:t xml:space="preserve">Resinas y Materiales, S.A. de C.V.</w:t>
      </w:r>
    </w:p>
    <w:p w:rsidR="00000000" w:rsidDel="00000000" w:rsidP="00000000" w:rsidRDefault="00000000" w:rsidRPr="00000000" w14:paraId="00000035">
      <w:pPr>
        <w:shd w:fill="ffffff" w:val="clear"/>
        <w:ind w:firstLine="280"/>
        <w:jc w:val="both"/>
        <w:rPr>
          <w:color w:val="2f2f2f"/>
          <w:sz w:val="18"/>
          <w:szCs w:val="18"/>
        </w:rPr>
      </w:pPr>
      <w:r w:rsidDel="00000000" w:rsidR="00000000" w:rsidRPr="00000000">
        <w:rPr>
          <w:color w:val="2f2f2f"/>
          <w:sz w:val="18"/>
          <w:szCs w:val="18"/>
          <w:rtl w:val="0"/>
        </w:rPr>
        <w:t xml:space="preserve">Blvd. Manuel Ávila Camacho No. 1994-1101</w:t>
      </w:r>
    </w:p>
    <w:p w:rsidR="00000000" w:rsidDel="00000000" w:rsidP="00000000" w:rsidRDefault="00000000" w:rsidRPr="00000000" w14:paraId="00000036">
      <w:pPr>
        <w:shd w:fill="ffffff" w:val="clear"/>
        <w:ind w:firstLine="280"/>
        <w:jc w:val="both"/>
        <w:rPr>
          <w:color w:val="2f2f2f"/>
          <w:sz w:val="18"/>
          <w:szCs w:val="18"/>
        </w:rPr>
      </w:pPr>
      <w:r w:rsidDel="00000000" w:rsidR="00000000" w:rsidRPr="00000000">
        <w:rPr>
          <w:color w:val="2f2f2f"/>
          <w:sz w:val="18"/>
          <w:szCs w:val="18"/>
          <w:rtl w:val="0"/>
        </w:rPr>
        <w:t xml:space="preserve">Col. San Lucas Tepetlacalco</w:t>
      </w:r>
    </w:p>
    <w:p w:rsidR="00000000" w:rsidDel="00000000" w:rsidP="00000000" w:rsidRDefault="00000000" w:rsidRPr="00000000" w14:paraId="0000003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C.P. 54055, Tlalnepantla, Estado de México</w:t>
      </w:r>
    </w:p>
    <w:p w:rsidR="00000000" w:rsidDel="00000000" w:rsidP="00000000" w:rsidRDefault="00000000" w:rsidRPr="00000000" w14:paraId="00000038">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2. Gobierno</w:t>
      </w:r>
    </w:p>
    <w:p w:rsidR="00000000" w:rsidDel="00000000" w:rsidP="00000000" w:rsidRDefault="00000000" w:rsidRPr="00000000" w14:paraId="00000039">
      <w:pPr>
        <w:shd w:fill="ffffff" w:val="clear"/>
        <w:ind w:firstLine="280"/>
        <w:jc w:val="both"/>
        <w:rPr>
          <w:color w:val="2f2f2f"/>
          <w:sz w:val="18"/>
          <w:szCs w:val="18"/>
        </w:rPr>
      </w:pPr>
      <w:r w:rsidDel="00000000" w:rsidR="00000000" w:rsidRPr="00000000">
        <w:rPr>
          <w:color w:val="2f2f2f"/>
          <w:sz w:val="18"/>
          <w:szCs w:val="18"/>
          <w:rtl w:val="0"/>
        </w:rPr>
        <w:t xml:space="preserve">Embajada de los Estados Unidos en México</w:t>
      </w:r>
    </w:p>
    <w:p w:rsidR="00000000" w:rsidDel="00000000" w:rsidP="00000000" w:rsidRDefault="00000000" w:rsidRPr="00000000" w14:paraId="0000003A">
      <w:pPr>
        <w:shd w:fill="ffffff" w:val="clear"/>
        <w:ind w:firstLine="280"/>
        <w:jc w:val="both"/>
        <w:rPr>
          <w:color w:val="2f2f2f"/>
          <w:sz w:val="18"/>
          <w:szCs w:val="18"/>
        </w:rPr>
      </w:pPr>
      <w:r w:rsidDel="00000000" w:rsidR="00000000" w:rsidRPr="00000000">
        <w:rPr>
          <w:color w:val="2f2f2f"/>
          <w:sz w:val="18"/>
          <w:szCs w:val="18"/>
          <w:rtl w:val="0"/>
        </w:rPr>
        <w:t xml:space="preserve">Paseo de la Reforma No. 305</w:t>
      </w:r>
    </w:p>
    <w:p w:rsidR="00000000" w:rsidDel="00000000" w:rsidP="00000000" w:rsidRDefault="00000000" w:rsidRPr="00000000" w14:paraId="0000003B">
      <w:pPr>
        <w:shd w:fill="ffffff" w:val="clear"/>
        <w:ind w:firstLine="280"/>
        <w:jc w:val="both"/>
        <w:rPr>
          <w:color w:val="2f2f2f"/>
          <w:sz w:val="18"/>
          <w:szCs w:val="18"/>
        </w:rPr>
      </w:pPr>
      <w:r w:rsidDel="00000000" w:rsidR="00000000" w:rsidRPr="00000000">
        <w:rPr>
          <w:color w:val="2f2f2f"/>
          <w:sz w:val="18"/>
          <w:szCs w:val="18"/>
          <w:rtl w:val="0"/>
        </w:rPr>
        <w:t xml:space="preserve">Col. Cuauhtémoc</w:t>
      </w:r>
    </w:p>
    <w:p w:rsidR="00000000" w:rsidDel="00000000" w:rsidP="00000000" w:rsidRDefault="00000000" w:rsidRPr="00000000" w14:paraId="0000003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C.P. 06500, Ciudad de México</w:t>
      </w:r>
    </w:p>
    <w:p w:rsidR="00000000" w:rsidDel="00000000" w:rsidP="00000000" w:rsidRDefault="00000000" w:rsidRPr="00000000" w14:paraId="0000003D">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CONSIDERANDOS</w:t>
      </w:r>
    </w:p>
    <w:p w:rsidR="00000000" w:rsidDel="00000000" w:rsidP="00000000" w:rsidRDefault="00000000" w:rsidRPr="00000000" w14:paraId="0000003E">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Competencia</w:t>
      </w:r>
    </w:p>
    <w:p w:rsidR="00000000" w:rsidDel="00000000" w:rsidP="00000000" w:rsidRDefault="00000000" w:rsidRPr="00000000" w14:paraId="0000003F">
      <w:pPr>
        <w:shd w:fill="ffffff" w:val="clear"/>
        <w:spacing w:after="100" w:lineRule="auto"/>
        <w:ind w:firstLine="280"/>
        <w:jc w:val="both"/>
        <w:rPr>
          <w:sz w:val="18"/>
          <w:szCs w:val="18"/>
        </w:rPr>
      </w:pPr>
      <w:r w:rsidDel="00000000" w:rsidR="00000000" w:rsidRPr="00000000">
        <w:rPr>
          <w:b w:val="1"/>
          <w:color w:val="2f2f2f"/>
          <w:sz w:val="18"/>
          <w:szCs w:val="18"/>
          <w:rtl w:val="0"/>
        </w:rPr>
        <w:t xml:space="preserve">17. </w:t>
      </w:r>
      <w:r w:rsidDel="00000000" w:rsidR="00000000" w:rsidRPr="00000000">
        <w:rPr>
          <w:sz w:val="18"/>
          <w:szCs w:val="18"/>
          <w:rtl w:val="0"/>
        </w:rPr>
        <w:t xml:space="preserve">La Secretaría es competente para emitir la presente Resolución, conforme a los artículos </w:t>
      </w:r>
      <w:r w:rsidDel="00000000" w:rsidR="00000000" w:rsidRPr="00000000">
        <w:rPr>
          <w:color w:val="2f2f2f"/>
          <w:sz w:val="18"/>
          <w:szCs w:val="18"/>
          <w:rtl w:val="0"/>
        </w:rPr>
        <w:t xml:space="preserve">16</w:t>
      </w:r>
      <w:r w:rsidDel="00000000" w:rsidR="00000000" w:rsidRPr="00000000">
        <w:rPr>
          <w:sz w:val="18"/>
          <w:szCs w:val="18"/>
          <w:rtl w:val="0"/>
        </w:rPr>
        <w:t xml:space="preserve"> y 34 fracciones V y XXXIII de la Ley Orgánica de la Administración Pública Federal; 1, 2 </w:t>
      </w:r>
      <w:r w:rsidDel="00000000" w:rsidR="00000000" w:rsidRPr="00000000">
        <w:rPr>
          <w:color w:val="2f2f2f"/>
          <w:sz w:val="18"/>
          <w:szCs w:val="18"/>
          <w:rtl w:val="0"/>
        </w:rPr>
        <w:t xml:space="preserve">apartado</w:t>
      </w:r>
      <w:r w:rsidDel="00000000" w:rsidR="00000000" w:rsidRPr="00000000">
        <w:rPr>
          <w:sz w:val="18"/>
          <w:szCs w:val="18"/>
          <w:rtl w:val="0"/>
        </w:rPr>
        <w:t xml:space="preserve"> A fracción II numeral 7 y 19 fracciones I y IV del Reglamento Interior de la Secretaría de Economía; 11.3, 12.1 y 12.3 del Acuerdo relativo a la Aplicación del Artículo VI del </w:t>
      </w:r>
      <w:r w:rsidDel="00000000" w:rsidR="00000000" w:rsidRPr="00000000">
        <w:rPr>
          <w:color w:val="2f2f2f"/>
          <w:sz w:val="18"/>
          <w:szCs w:val="18"/>
          <w:rtl w:val="0"/>
        </w:rPr>
        <w:t xml:space="preserve">Acuerdo</w:t>
      </w:r>
      <w:r w:rsidDel="00000000" w:rsidR="00000000" w:rsidRPr="00000000">
        <w:rPr>
          <w:sz w:val="18"/>
          <w:szCs w:val="18"/>
          <w:rtl w:val="0"/>
        </w:rPr>
        <w:t xml:space="preserve"> General sobre Aranceles Aduaneros y Comercio de 1994 (el "Acuerdo Antidumping"); 5 fracción VII, 70 fracción II, 70 B y 89 F de la Ley de Comercio Exterior, y 80 y 81 de su Reglamento.</w:t>
      </w:r>
    </w:p>
    <w:p w:rsidR="00000000" w:rsidDel="00000000" w:rsidP="00000000" w:rsidRDefault="00000000" w:rsidRPr="00000000" w14:paraId="00000040">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Legislación aplicable</w:t>
      </w:r>
    </w:p>
    <w:p w:rsidR="00000000" w:rsidDel="00000000" w:rsidP="00000000" w:rsidRDefault="00000000" w:rsidRPr="00000000" w14:paraId="00000041">
      <w:pPr>
        <w:shd w:fill="ffffff" w:val="clear"/>
        <w:spacing w:after="100" w:lineRule="auto"/>
        <w:ind w:firstLine="280"/>
        <w:jc w:val="both"/>
        <w:rPr>
          <w:sz w:val="18"/>
          <w:szCs w:val="18"/>
        </w:rPr>
      </w:pPr>
      <w:r w:rsidDel="00000000" w:rsidR="00000000" w:rsidRPr="00000000">
        <w:rPr>
          <w:b w:val="1"/>
          <w:color w:val="2f2f2f"/>
          <w:sz w:val="18"/>
          <w:szCs w:val="18"/>
          <w:rtl w:val="0"/>
        </w:rPr>
        <w:t xml:space="preserve">18. </w:t>
      </w:r>
      <w:r w:rsidDel="00000000" w:rsidR="00000000" w:rsidRPr="00000000">
        <w:rPr>
          <w:sz w:val="18"/>
          <w:szCs w:val="18"/>
          <w:rtl w:val="0"/>
        </w:rPr>
        <w:t xml:space="preserve">Para efectos de este procedimiento son aplicables el Acuerdo Antidumping, la Ley de Comercio Exterior y su Reglamento, el Código Fiscal de la Federación, la Ley Federal de Procedimiento Contencioso Administrativo aplicada supletoriamente, de conformidad con el artículo Segundo </w:t>
      </w:r>
      <w:r w:rsidDel="00000000" w:rsidR="00000000" w:rsidRPr="00000000">
        <w:rPr>
          <w:color w:val="2f2f2f"/>
          <w:sz w:val="18"/>
          <w:szCs w:val="18"/>
          <w:rtl w:val="0"/>
        </w:rPr>
        <w:t xml:space="preserve">Transitorio</w:t>
      </w:r>
      <w:r w:rsidDel="00000000" w:rsidR="00000000" w:rsidRPr="00000000">
        <w:rPr>
          <w:sz w:val="18"/>
          <w:szCs w:val="18"/>
          <w:rtl w:val="0"/>
        </w:rPr>
        <w:t xml:space="preserve"> del Decreto por el que se expide dicha ley, así como el Código Federal de Procedimientos Civiles, estos tres últimos de aplicación supletoria.</w:t>
      </w:r>
    </w:p>
    <w:p w:rsidR="00000000" w:rsidDel="00000000" w:rsidP="00000000" w:rsidRDefault="00000000" w:rsidRPr="00000000" w14:paraId="00000042">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Protección de la información confidencial</w:t>
      </w:r>
    </w:p>
    <w:p w:rsidR="00000000" w:rsidDel="00000000" w:rsidP="00000000" w:rsidRDefault="00000000" w:rsidRPr="00000000" w14:paraId="00000043">
      <w:pPr>
        <w:shd w:fill="ffffff" w:val="clear"/>
        <w:spacing w:after="100" w:lineRule="auto"/>
        <w:ind w:firstLine="280"/>
        <w:jc w:val="both"/>
        <w:rPr>
          <w:sz w:val="18"/>
          <w:szCs w:val="18"/>
        </w:rPr>
      </w:pPr>
      <w:r w:rsidDel="00000000" w:rsidR="00000000" w:rsidRPr="00000000">
        <w:rPr>
          <w:b w:val="1"/>
          <w:color w:val="2f2f2f"/>
          <w:sz w:val="18"/>
          <w:szCs w:val="18"/>
          <w:rtl w:val="0"/>
        </w:rPr>
        <w:t xml:space="preserve">19. </w:t>
      </w:r>
      <w:r w:rsidDel="00000000" w:rsidR="00000000" w:rsidRPr="00000000">
        <w:rPr>
          <w:sz w:val="18"/>
          <w:szCs w:val="18"/>
          <w:rtl w:val="0"/>
        </w:rPr>
        <w:t xml:space="preserve">La Secretaría no puede revelar públicamente la información confidencial que las partes </w:t>
      </w:r>
      <w:r w:rsidDel="00000000" w:rsidR="00000000" w:rsidRPr="00000000">
        <w:rPr>
          <w:color w:val="2f2f2f"/>
          <w:sz w:val="18"/>
          <w:szCs w:val="18"/>
          <w:rtl w:val="0"/>
        </w:rPr>
        <w:t xml:space="preserve">interesadas</w:t>
      </w:r>
      <w:r w:rsidDel="00000000" w:rsidR="00000000" w:rsidRPr="00000000">
        <w:rPr>
          <w:sz w:val="18"/>
          <w:szCs w:val="18"/>
          <w:rtl w:val="0"/>
        </w:rPr>
        <w:t xml:space="preserve"> le presenten, ni la información confidencial de que ella misma se allegue, de conformidad con los artículos 6.5 del Acuerdo Antidumping, 80 de la Ley de Comercio Exterior, y 152 y 158 de su Reglamento. No obstante, las partes interesadas podrán obtener el acceso a la información confidencial, siempre y cuando satisfagan los requisitos establecidos en los artículos 159 y 160 del Reglamento de la Ley de Comercio Exterior.</w:t>
      </w:r>
    </w:p>
    <w:p w:rsidR="00000000" w:rsidDel="00000000" w:rsidP="00000000" w:rsidRDefault="00000000" w:rsidRPr="00000000" w14:paraId="00000044">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Legitimación para el inicio del examen de vigencia de cuota</w:t>
      </w:r>
    </w:p>
    <w:p w:rsidR="00000000" w:rsidDel="00000000" w:rsidP="00000000" w:rsidRDefault="00000000" w:rsidRPr="00000000" w14:paraId="00000045">
      <w:pPr>
        <w:shd w:fill="ffffff" w:val="clear"/>
        <w:spacing w:after="100" w:lineRule="auto"/>
        <w:ind w:firstLine="280"/>
        <w:jc w:val="both"/>
        <w:rPr>
          <w:sz w:val="18"/>
          <w:szCs w:val="18"/>
        </w:rPr>
      </w:pPr>
      <w:r w:rsidDel="00000000" w:rsidR="00000000" w:rsidRPr="00000000">
        <w:rPr>
          <w:b w:val="1"/>
          <w:color w:val="2f2f2f"/>
          <w:sz w:val="18"/>
          <w:szCs w:val="18"/>
          <w:rtl w:val="0"/>
        </w:rPr>
        <w:t xml:space="preserve">20. </w:t>
      </w:r>
      <w:r w:rsidDel="00000000" w:rsidR="00000000" w:rsidRPr="00000000">
        <w:rPr>
          <w:sz w:val="18"/>
          <w:szCs w:val="18"/>
          <w:rtl w:val="0"/>
        </w:rPr>
        <w:t xml:space="preserve">Conforme a los artículos 11.3 del Acuerdo Antidumping, 70 fracción II y 70 B de la Ley de Comercio Exterior, las </w:t>
      </w:r>
      <w:r w:rsidDel="00000000" w:rsidR="00000000" w:rsidRPr="00000000">
        <w:rPr>
          <w:color w:val="2f2f2f"/>
          <w:sz w:val="18"/>
          <w:szCs w:val="18"/>
          <w:rtl w:val="0"/>
        </w:rPr>
        <w:t xml:space="preserve">cuotas</w:t>
      </w:r>
      <w:r w:rsidDel="00000000" w:rsidR="00000000" w:rsidRPr="00000000">
        <w:rPr>
          <w:sz w:val="18"/>
          <w:szCs w:val="18"/>
          <w:rtl w:val="0"/>
        </w:rPr>
        <w:t xml:space="preserve"> compensatorias definitivas se eliminarán en un plazo de cinco años contados a partir de </w:t>
      </w:r>
      <w:r w:rsidDel="00000000" w:rsidR="00000000" w:rsidRPr="00000000">
        <w:rPr>
          <w:color w:val="2f2f2f"/>
          <w:sz w:val="18"/>
          <w:szCs w:val="18"/>
          <w:rtl w:val="0"/>
        </w:rPr>
        <w:t xml:space="preserve">su</w:t>
      </w:r>
      <w:r w:rsidDel="00000000" w:rsidR="00000000" w:rsidRPr="00000000">
        <w:rPr>
          <w:sz w:val="18"/>
          <w:szCs w:val="18"/>
          <w:rtl w:val="0"/>
        </w:rPr>
        <w:t xml:space="preserve"> entrada en vigor, a menos que la Secretaría haya iniciado, antes de concluir dicho plazo, un examen de vigencia derivado de la manifestación de interés de uno o más productores nacionales.</w:t>
      </w:r>
    </w:p>
    <w:p w:rsidR="00000000" w:rsidDel="00000000" w:rsidP="00000000" w:rsidRDefault="00000000" w:rsidRPr="00000000" w14:paraId="00000046">
      <w:pPr>
        <w:shd w:fill="ffffff" w:val="clear"/>
        <w:spacing w:after="100" w:lineRule="auto"/>
        <w:ind w:firstLine="280"/>
        <w:jc w:val="both"/>
        <w:rPr>
          <w:sz w:val="18"/>
          <w:szCs w:val="18"/>
        </w:rPr>
      </w:pPr>
      <w:r w:rsidDel="00000000" w:rsidR="00000000" w:rsidRPr="00000000">
        <w:rPr>
          <w:b w:val="1"/>
          <w:color w:val="2f2f2f"/>
          <w:sz w:val="18"/>
          <w:szCs w:val="18"/>
          <w:rtl w:val="0"/>
        </w:rPr>
        <w:t xml:space="preserve">21. </w:t>
      </w:r>
      <w:r w:rsidDel="00000000" w:rsidR="00000000" w:rsidRPr="00000000">
        <w:rPr>
          <w:sz w:val="18"/>
          <w:szCs w:val="18"/>
          <w:rtl w:val="0"/>
        </w:rPr>
        <w:t xml:space="preserve">En el presente caso, EIQSA, en su calidad de productora nacional del </w:t>
      </w:r>
      <w:r w:rsidDel="00000000" w:rsidR="00000000" w:rsidRPr="00000000">
        <w:rPr>
          <w:color w:val="2f2f2f"/>
          <w:sz w:val="18"/>
          <w:szCs w:val="18"/>
          <w:rtl w:val="0"/>
        </w:rPr>
        <w:t xml:space="preserve">producto</w:t>
      </w:r>
      <w:r w:rsidDel="00000000" w:rsidR="00000000" w:rsidRPr="00000000">
        <w:rPr>
          <w:sz w:val="18"/>
          <w:szCs w:val="18"/>
          <w:rtl w:val="0"/>
        </w:rPr>
        <w:t xml:space="preserve"> objeto de examen, manifestó en tiempo y forma, su interés en que se inicie el examen de vigencia de la cuota compensatoria definitiva impuesta a las importaciones de aceite </w:t>
      </w:r>
      <w:r w:rsidDel="00000000" w:rsidR="00000000" w:rsidRPr="00000000">
        <w:rPr>
          <w:color w:val="2f2f2f"/>
          <w:sz w:val="18"/>
          <w:szCs w:val="18"/>
          <w:rtl w:val="0"/>
        </w:rPr>
        <w:t xml:space="preserve">epoxidado</w:t>
      </w:r>
      <w:r w:rsidDel="00000000" w:rsidR="00000000" w:rsidRPr="00000000">
        <w:rPr>
          <w:sz w:val="18"/>
          <w:szCs w:val="18"/>
          <w:rtl w:val="0"/>
        </w:rPr>
        <w:t xml:space="preserve"> de soya, originarias de Estados Unidos, por lo que se actualizan los supuestos previstos en la legislación de la materia y, en consecuencia, procede iniciarlo.</w:t>
      </w:r>
    </w:p>
    <w:p w:rsidR="00000000" w:rsidDel="00000000" w:rsidP="00000000" w:rsidRDefault="00000000" w:rsidRPr="00000000" w14:paraId="00000047">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Periodo de examen y de análisis</w:t>
      </w:r>
    </w:p>
    <w:p w:rsidR="00000000" w:rsidDel="00000000" w:rsidP="00000000" w:rsidRDefault="00000000" w:rsidRPr="00000000" w14:paraId="00000048">
      <w:pPr>
        <w:shd w:fill="ffffff" w:val="clear"/>
        <w:spacing w:after="100" w:lineRule="auto"/>
        <w:ind w:firstLine="280"/>
        <w:jc w:val="both"/>
        <w:rPr>
          <w:sz w:val="18"/>
          <w:szCs w:val="18"/>
        </w:rPr>
      </w:pPr>
      <w:r w:rsidDel="00000000" w:rsidR="00000000" w:rsidRPr="00000000">
        <w:rPr>
          <w:b w:val="1"/>
          <w:color w:val="2f2f2f"/>
          <w:sz w:val="18"/>
          <w:szCs w:val="18"/>
          <w:rtl w:val="0"/>
        </w:rPr>
        <w:t xml:space="preserve">22. </w:t>
      </w:r>
      <w:r w:rsidDel="00000000" w:rsidR="00000000" w:rsidRPr="00000000">
        <w:rPr>
          <w:sz w:val="18"/>
          <w:szCs w:val="18"/>
          <w:rtl w:val="0"/>
        </w:rPr>
        <w:t xml:space="preserve">La </w:t>
      </w:r>
      <w:r w:rsidDel="00000000" w:rsidR="00000000" w:rsidRPr="00000000">
        <w:rPr>
          <w:color w:val="2f2f2f"/>
          <w:sz w:val="18"/>
          <w:szCs w:val="18"/>
          <w:rtl w:val="0"/>
        </w:rPr>
        <w:t xml:space="preserve">Secretaría</w:t>
      </w:r>
      <w:r w:rsidDel="00000000" w:rsidR="00000000" w:rsidRPr="00000000">
        <w:rPr>
          <w:sz w:val="18"/>
          <w:szCs w:val="18"/>
          <w:rtl w:val="0"/>
        </w:rPr>
        <w:t xml:space="preserve"> determina fijar como periodo de examen el propuesto por EIQSA, comprendido del 1 de julio de 2019 al 30 de junio de 2020</w:t>
      </w:r>
      <w:r w:rsidDel="00000000" w:rsidR="00000000" w:rsidRPr="00000000">
        <w:rPr>
          <w:color w:val="2f2f2f"/>
          <w:sz w:val="18"/>
          <w:szCs w:val="18"/>
          <w:rtl w:val="0"/>
        </w:rPr>
        <w:t xml:space="preserve"> y</w:t>
      </w:r>
      <w:r w:rsidDel="00000000" w:rsidR="00000000" w:rsidRPr="00000000">
        <w:rPr>
          <w:sz w:val="18"/>
          <w:szCs w:val="18"/>
          <w:rtl w:val="0"/>
        </w:rPr>
        <w:t xml:space="preserve"> como periodo de análisis el comprendido del 1 de julio de 2015 al 30 de junio de 2020, </w:t>
      </w:r>
      <w:r w:rsidDel="00000000" w:rsidR="00000000" w:rsidRPr="00000000">
        <w:rPr>
          <w:color w:val="2f2f2f"/>
          <w:sz w:val="18"/>
          <w:szCs w:val="18"/>
          <w:rtl w:val="0"/>
        </w:rPr>
        <w:t xml:space="preserve">toda</w:t>
      </w:r>
      <w:r w:rsidDel="00000000" w:rsidR="00000000" w:rsidRPr="00000000">
        <w:rPr>
          <w:sz w:val="18"/>
          <w:szCs w:val="18"/>
          <w:rtl w:val="0"/>
        </w:rPr>
        <w:t xml:space="preserve"> vez que este se apega a lo previsto en el artículo 76 del Reglamento de la Ley de Comercio Exterior y a la recomendación del Comité de Prácticas Antidumping de la Organización Mundial del Comercio (documento G/ADP/6 adoptado el 5 de mayo de 2000).</w:t>
      </w:r>
    </w:p>
    <w:p w:rsidR="00000000" w:rsidDel="00000000" w:rsidP="00000000" w:rsidRDefault="00000000" w:rsidRPr="00000000" w14:paraId="00000049">
      <w:pPr>
        <w:shd w:fill="ffffff" w:val="clear"/>
        <w:spacing w:after="100" w:lineRule="auto"/>
        <w:ind w:firstLine="280"/>
        <w:jc w:val="both"/>
        <w:rPr>
          <w:sz w:val="18"/>
          <w:szCs w:val="18"/>
        </w:rPr>
      </w:pPr>
      <w:r w:rsidDel="00000000" w:rsidR="00000000" w:rsidRPr="00000000">
        <w:rPr>
          <w:b w:val="1"/>
          <w:color w:val="2f2f2f"/>
          <w:sz w:val="18"/>
          <w:szCs w:val="18"/>
          <w:rtl w:val="0"/>
        </w:rPr>
        <w:t xml:space="preserve">23.</w:t>
      </w:r>
      <w:r w:rsidDel="00000000" w:rsidR="00000000" w:rsidRPr="00000000">
        <w:rPr>
          <w:color w:val="2f2f2f"/>
          <w:sz w:val="18"/>
          <w:szCs w:val="18"/>
          <w:rtl w:val="0"/>
        </w:rPr>
        <w:t xml:space="preserve"> Por</w:t>
      </w:r>
      <w:r w:rsidDel="00000000" w:rsidR="00000000" w:rsidRPr="00000000">
        <w:rPr>
          <w:sz w:val="18"/>
          <w:szCs w:val="18"/>
          <w:rtl w:val="0"/>
        </w:rPr>
        <w:t xml:space="preserve"> lo expuesto, con fundamento en los artículos 11.1 y 11.3 del Acuerdo Antidumping, y 67, 70 </w:t>
      </w:r>
      <w:r w:rsidDel="00000000" w:rsidR="00000000" w:rsidRPr="00000000">
        <w:rPr>
          <w:color w:val="2f2f2f"/>
          <w:sz w:val="18"/>
          <w:szCs w:val="18"/>
          <w:rtl w:val="0"/>
        </w:rPr>
        <w:t xml:space="preserve">fracción</w:t>
      </w:r>
      <w:r w:rsidDel="00000000" w:rsidR="00000000" w:rsidRPr="00000000">
        <w:rPr>
          <w:sz w:val="18"/>
          <w:szCs w:val="18"/>
          <w:rtl w:val="0"/>
        </w:rPr>
        <w:t xml:space="preserve"> II, 70 B y 89 F de la Ley de Comercio Exterior, se emite la siguiente</w:t>
      </w:r>
    </w:p>
    <w:p w:rsidR="00000000" w:rsidDel="00000000" w:rsidP="00000000" w:rsidRDefault="00000000" w:rsidRPr="00000000" w14:paraId="0000004A">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RESOLUCIÓN</w:t>
      </w:r>
    </w:p>
    <w:p w:rsidR="00000000" w:rsidDel="00000000" w:rsidP="00000000" w:rsidRDefault="00000000" w:rsidRPr="00000000" w14:paraId="0000004B">
      <w:pPr>
        <w:shd w:fill="ffffff" w:val="clear"/>
        <w:spacing w:after="100" w:lineRule="auto"/>
        <w:ind w:firstLine="280"/>
        <w:jc w:val="both"/>
        <w:rPr>
          <w:sz w:val="18"/>
          <w:szCs w:val="18"/>
        </w:rPr>
      </w:pPr>
      <w:r w:rsidDel="00000000" w:rsidR="00000000" w:rsidRPr="00000000">
        <w:rPr>
          <w:b w:val="1"/>
          <w:color w:val="2f2f2f"/>
          <w:sz w:val="18"/>
          <w:szCs w:val="18"/>
          <w:rtl w:val="0"/>
        </w:rPr>
        <w:t xml:space="preserve">24.</w:t>
      </w:r>
      <w:r w:rsidDel="00000000" w:rsidR="00000000" w:rsidRPr="00000000">
        <w:rPr>
          <w:color w:val="2f2f2f"/>
          <w:sz w:val="18"/>
          <w:szCs w:val="18"/>
          <w:rtl w:val="0"/>
        </w:rPr>
        <w:t xml:space="preserve"> </w:t>
      </w:r>
      <w:r w:rsidDel="00000000" w:rsidR="00000000" w:rsidRPr="00000000">
        <w:rPr>
          <w:sz w:val="18"/>
          <w:szCs w:val="18"/>
          <w:rtl w:val="0"/>
        </w:rPr>
        <w:t xml:space="preserve">Se declara el inicio del procedimiento administrativo de examen de vigencia </w:t>
      </w:r>
      <w:r w:rsidDel="00000000" w:rsidR="00000000" w:rsidRPr="00000000">
        <w:rPr>
          <w:color w:val="2f2f2f"/>
          <w:sz w:val="18"/>
          <w:szCs w:val="18"/>
          <w:rtl w:val="0"/>
        </w:rPr>
        <w:t xml:space="preserve">de</w:t>
      </w:r>
      <w:r w:rsidDel="00000000" w:rsidR="00000000" w:rsidRPr="00000000">
        <w:rPr>
          <w:sz w:val="18"/>
          <w:szCs w:val="18"/>
          <w:rtl w:val="0"/>
        </w:rPr>
        <w:t xml:space="preserve"> la cuota compensatoria definitiva impuesta a las importaciones de aceite </w:t>
      </w:r>
      <w:r w:rsidDel="00000000" w:rsidR="00000000" w:rsidRPr="00000000">
        <w:rPr>
          <w:color w:val="2f2f2f"/>
          <w:sz w:val="18"/>
          <w:szCs w:val="18"/>
          <w:rtl w:val="0"/>
        </w:rPr>
        <w:t xml:space="preserve">epoxidado</w:t>
      </w:r>
      <w:r w:rsidDel="00000000" w:rsidR="00000000" w:rsidRPr="00000000">
        <w:rPr>
          <w:sz w:val="18"/>
          <w:szCs w:val="18"/>
          <w:rtl w:val="0"/>
        </w:rPr>
        <w:t xml:space="preserve"> de soya originarias de los Estados Unidos, independientemente del país de procedencia, que ingresan a través de </w:t>
      </w:r>
      <w:r w:rsidDel="00000000" w:rsidR="00000000" w:rsidRPr="00000000">
        <w:rPr>
          <w:color w:val="2f2f2f"/>
          <w:sz w:val="18"/>
          <w:szCs w:val="18"/>
          <w:rtl w:val="0"/>
        </w:rPr>
        <w:t xml:space="preserve">la fracción </w:t>
      </w:r>
      <w:r w:rsidDel="00000000" w:rsidR="00000000" w:rsidRPr="00000000">
        <w:rPr>
          <w:sz w:val="18"/>
          <w:szCs w:val="18"/>
          <w:rtl w:val="0"/>
        </w:rPr>
        <w:t xml:space="preserve">arancelaria 1518.00.02 de la TIGIE, o por cualquier otra.</w:t>
      </w:r>
    </w:p>
    <w:p w:rsidR="00000000" w:rsidDel="00000000" w:rsidP="00000000" w:rsidRDefault="00000000" w:rsidRPr="00000000" w14:paraId="0000004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25.</w:t>
      </w:r>
      <w:r w:rsidDel="00000000" w:rsidR="00000000" w:rsidRPr="00000000">
        <w:rPr>
          <w:color w:val="2f2f2f"/>
          <w:sz w:val="18"/>
          <w:szCs w:val="18"/>
          <w:rtl w:val="0"/>
        </w:rPr>
        <w:t xml:space="preserve"> </w:t>
      </w:r>
      <w:r w:rsidDel="00000000" w:rsidR="00000000" w:rsidRPr="00000000">
        <w:rPr>
          <w:sz w:val="18"/>
          <w:szCs w:val="18"/>
          <w:rtl w:val="0"/>
        </w:rPr>
        <w:t xml:space="preserve">Se </w:t>
      </w:r>
      <w:r w:rsidDel="00000000" w:rsidR="00000000" w:rsidRPr="00000000">
        <w:rPr>
          <w:color w:val="2f2f2f"/>
          <w:sz w:val="18"/>
          <w:szCs w:val="18"/>
          <w:rtl w:val="0"/>
        </w:rPr>
        <w:t xml:space="preserve">fija</w:t>
      </w:r>
      <w:r w:rsidDel="00000000" w:rsidR="00000000" w:rsidRPr="00000000">
        <w:rPr>
          <w:sz w:val="18"/>
          <w:szCs w:val="18"/>
          <w:rtl w:val="0"/>
        </w:rPr>
        <w:t xml:space="preserve"> como periodo de examen el comprendido del 1 de julio de 2019 al 30 de junio de </w:t>
      </w:r>
      <w:r w:rsidDel="00000000" w:rsidR="00000000" w:rsidRPr="00000000">
        <w:rPr>
          <w:color w:val="2f2f2f"/>
          <w:sz w:val="18"/>
          <w:szCs w:val="18"/>
          <w:rtl w:val="0"/>
        </w:rPr>
        <w:t xml:space="preserve">2020 y como periodo de análisis el comprendido del 1 de julio de 2015 al 30 de junio de 2020.</w:t>
      </w:r>
    </w:p>
    <w:p w:rsidR="00000000" w:rsidDel="00000000" w:rsidP="00000000" w:rsidRDefault="00000000" w:rsidRPr="00000000" w14:paraId="0000004D">
      <w:pPr>
        <w:shd w:fill="ffffff" w:val="clear"/>
        <w:spacing w:after="100" w:lineRule="auto"/>
        <w:ind w:firstLine="280"/>
        <w:jc w:val="both"/>
        <w:rPr>
          <w:sz w:val="18"/>
          <w:szCs w:val="18"/>
        </w:rPr>
      </w:pPr>
      <w:r w:rsidDel="00000000" w:rsidR="00000000" w:rsidRPr="00000000">
        <w:rPr>
          <w:b w:val="1"/>
          <w:color w:val="2f2f2f"/>
          <w:sz w:val="18"/>
          <w:szCs w:val="18"/>
          <w:rtl w:val="0"/>
        </w:rPr>
        <w:t xml:space="preserve">26.</w:t>
      </w:r>
      <w:r w:rsidDel="00000000" w:rsidR="00000000" w:rsidRPr="00000000">
        <w:rPr>
          <w:color w:val="2f2f2f"/>
          <w:sz w:val="18"/>
          <w:szCs w:val="18"/>
          <w:rtl w:val="0"/>
        </w:rPr>
        <w:t xml:space="preserve"> Conforme</w:t>
      </w:r>
      <w:r w:rsidDel="00000000" w:rsidR="00000000" w:rsidRPr="00000000">
        <w:rPr>
          <w:sz w:val="18"/>
          <w:szCs w:val="18"/>
          <w:rtl w:val="0"/>
        </w:rPr>
        <w:t xml:space="preserve"> a lo establecido en los artículos 11.3 del Acuerdo Antidumping, 70 fracción II y 89 F de la Ley de Comercio Exterior y 94 de su Reglamento, la cuota compensatoria definitiva a que se refiere el punto 1 de la </w:t>
      </w:r>
      <w:r w:rsidDel="00000000" w:rsidR="00000000" w:rsidRPr="00000000">
        <w:rPr>
          <w:color w:val="2f2f2f"/>
          <w:sz w:val="18"/>
          <w:szCs w:val="18"/>
          <w:rtl w:val="0"/>
        </w:rPr>
        <w:t xml:space="preserve">presente</w:t>
      </w:r>
      <w:r w:rsidDel="00000000" w:rsidR="00000000" w:rsidRPr="00000000">
        <w:rPr>
          <w:sz w:val="18"/>
          <w:szCs w:val="18"/>
          <w:rtl w:val="0"/>
        </w:rPr>
        <w:t xml:space="preserve"> Resolución, continuará vigente mientras se tramita el presente procedimiento de examen de vigencia.</w:t>
      </w:r>
    </w:p>
    <w:p w:rsidR="00000000" w:rsidDel="00000000" w:rsidP="00000000" w:rsidRDefault="00000000" w:rsidRPr="00000000" w14:paraId="0000004E">
      <w:pPr>
        <w:shd w:fill="ffffff" w:val="clear"/>
        <w:spacing w:after="100" w:lineRule="auto"/>
        <w:ind w:firstLine="280"/>
        <w:jc w:val="both"/>
        <w:rPr>
          <w:sz w:val="18"/>
          <w:szCs w:val="18"/>
        </w:rPr>
      </w:pPr>
      <w:r w:rsidDel="00000000" w:rsidR="00000000" w:rsidRPr="00000000">
        <w:rPr>
          <w:b w:val="1"/>
          <w:color w:val="2f2f2f"/>
          <w:sz w:val="18"/>
          <w:szCs w:val="18"/>
          <w:rtl w:val="0"/>
        </w:rPr>
        <w:t xml:space="preserve">27.</w:t>
      </w:r>
      <w:r w:rsidDel="00000000" w:rsidR="00000000" w:rsidRPr="00000000">
        <w:rPr>
          <w:color w:val="2f2f2f"/>
          <w:sz w:val="18"/>
          <w:szCs w:val="18"/>
          <w:rtl w:val="0"/>
        </w:rPr>
        <w:t xml:space="preserve"> </w:t>
      </w:r>
      <w:r w:rsidDel="00000000" w:rsidR="00000000" w:rsidRPr="00000000">
        <w:rPr>
          <w:sz w:val="18"/>
          <w:szCs w:val="18"/>
          <w:rtl w:val="0"/>
        </w:rPr>
        <w:t xml:space="preserve">De </w:t>
      </w:r>
      <w:r w:rsidDel="00000000" w:rsidR="00000000" w:rsidRPr="00000000">
        <w:rPr>
          <w:color w:val="2f2f2f"/>
          <w:sz w:val="18"/>
          <w:szCs w:val="18"/>
          <w:rtl w:val="0"/>
        </w:rPr>
        <w:t xml:space="preserve">conformidad</w:t>
      </w:r>
      <w:r w:rsidDel="00000000" w:rsidR="00000000" w:rsidRPr="00000000">
        <w:rPr>
          <w:sz w:val="18"/>
          <w:szCs w:val="18"/>
          <w:rtl w:val="0"/>
        </w:rPr>
        <w:t xml:space="preserve"> con los artículos 6.1 y 11.4 del Acuerdo Antidumping, y 3 último párrafo y 89 F de la Ley de Comercio Exterior, los productores nacionales, importadores, exportadores, personas morales extranjeras o cualquier persona que acredite tener interés jurídico en el resultado de este procedimiento de examen, contarán con un plazo de veintiocho días hábiles para acreditar su interés jurídico y presentar la respuesta al formulario oficial establecido para tal efecto, así como los argumentos y las pruebas que consideren convenientes. El plazo de veintiocho días hábiles se contará a partir del día siguiente de la publicación en el DOF de la presente Resolución y concluirá a las 14:00 horas del día de su vencimiento.</w:t>
      </w:r>
    </w:p>
    <w:p w:rsidR="00000000" w:rsidDel="00000000" w:rsidP="00000000" w:rsidRDefault="00000000" w:rsidRPr="00000000" w14:paraId="0000004F">
      <w:pPr>
        <w:shd w:fill="ffffff" w:val="clear"/>
        <w:spacing w:after="100" w:lineRule="auto"/>
        <w:ind w:firstLine="280"/>
        <w:jc w:val="both"/>
        <w:rPr>
          <w:sz w:val="18"/>
          <w:szCs w:val="18"/>
        </w:rPr>
      </w:pPr>
      <w:r w:rsidDel="00000000" w:rsidR="00000000" w:rsidRPr="00000000">
        <w:rPr>
          <w:b w:val="1"/>
          <w:color w:val="2f2f2f"/>
          <w:sz w:val="18"/>
          <w:szCs w:val="18"/>
          <w:rtl w:val="0"/>
        </w:rPr>
        <w:t xml:space="preserve">28.</w:t>
      </w:r>
      <w:r w:rsidDel="00000000" w:rsidR="00000000" w:rsidRPr="00000000">
        <w:rPr>
          <w:color w:val="2f2f2f"/>
          <w:sz w:val="18"/>
          <w:szCs w:val="18"/>
          <w:rtl w:val="0"/>
        </w:rPr>
        <w:t xml:space="preserve"> </w:t>
      </w:r>
      <w:r w:rsidDel="00000000" w:rsidR="00000000" w:rsidRPr="00000000">
        <w:rPr>
          <w:sz w:val="18"/>
          <w:szCs w:val="18"/>
          <w:rtl w:val="0"/>
        </w:rPr>
        <w:t xml:space="preserve">El formulario oficial a que se refiere el punto anterior, se podrá obtener en la página de Internet de la Secretaría o solicitarlo al correo upci@economia.gob.mx.</w:t>
      </w:r>
    </w:p>
    <w:p w:rsidR="00000000" w:rsidDel="00000000" w:rsidP="00000000" w:rsidRDefault="00000000" w:rsidRPr="00000000" w14:paraId="00000050">
      <w:pPr>
        <w:shd w:fill="ffffff" w:val="clear"/>
        <w:spacing w:after="100" w:lineRule="auto"/>
        <w:ind w:firstLine="280"/>
        <w:jc w:val="both"/>
        <w:rPr>
          <w:sz w:val="18"/>
          <w:szCs w:val="18"/>
        </w:rPr>
      </w:pPr>
      <w:r w:rsidDel="00000000" w:rsidR="00000000" w:rsidRPr="00000000">
        <w:rPr>
          <w:b w:val="1"/>
          <w:color w:val="2f2f2f"/>
          <w:sz w:val="18"/>
          <w:szCs w:val="18"/>
          <w:rtl w:val="0"/>
        </w:rPr>
        <w:t xml:space="preserve">29.</w:t>
      </w:r>
      <w:r w:rsidDel="00000000" w:rsidR="00000000" w:rsidRPr="00000000">
        <w:rPr>
          <w:color w:val="2f2f2f"/>
          <w:sz w:val="18"/>
          <w:szCs w:val="18"/>
          <w:rtl w:val="0"/>
        </w:rPr>
        <w:t xml:space="preserve"> Notifíquese</w:t>
      </w:r>
      <w:r w:rsidDel="00000000" w:rsidR="00000000" w:rsidRPr="00000000">
        <w:rPr>
          <w:sz w:val="18"/>
          <w:szCs w:val="18"/>
          <w:rtl w:val="0"/>
        </w:rPr>
        <w:t xml:space="preserve"> la presente Resolución a las partes de que se tenga conocimiento.</w:t>
      </w:r>
    </w:p>
    <w:p w:rsidR="00000000" w:rsidDel="00000000" w:rsidP="00000000" w:rsidRDefault="00000000" w:rsidRPr="00000000" w14:paraId="0000005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52">
      <w:pPr>
        <w:shd w:fill="ffffff" w:val="clear"/>
        <w:spacing w:after="100" w:lineRule="auto"/>
        <w:ind w:firstLine="280"/>
        <w:jc w:val="both"/>
        <w:rPr>
          <w:sz w:val="18"/>
          <w:szCs w:val="18"/>
        </w:rPr>
      </w:pPr>
      <w:r w:rsidDel="00000000" w:rsidR="00000000" w:rsidRPr="00000000">
        <w:rPr>
          <w:b w:val="1"/>
          <w:color w:val="2f2f2f"/>
          <w:sz w:val="18"/>
          <w:szCs w:val="18"/>
          <w:rtl w:val="0"/>
        </w:rPr>
        <w:t xml:space="preserve">30.</w:t>
      </w:r>
      <w:r w:rsidDel="00000000" w:rsidR="00000000" w:rsidRPr="00000000">
        <w:rPr>
          <w:color w:val="2f2f2f"/>
          <w:sz w:val="18"/>
          <w:szCs w:val="18"/>
          <w:rtl w:val="0"/>
        </w:rPr>
        <w:t xml:space="preserve"> Comuníquese</w:t>
      </w:r>
      <w:r w:rsidDel="00000000" w:rsidR="00000000" w:rsidRPr="00000000">
        <w:rPr>
          <w:sz w:val="18"/>
          <w:szCs w:val="18"/>
          <w:rtl w:val="0"/>
        </w:rPr>
        <w:t xml:space="preserve"> esta Resolución al </w:t>
      </w:r>
      <w:r w:rsidDel="00000000" w:rsidR="00000000" w:rsidRPr="00000000">
        <w:rPr>
          <w:color w:val="2f2f2f"/>
          <w:sz w:val="18"/>
          <w:szCs w:val="18"/>
          <w:rtl w:val="0"/>
        </w:rPr>
        <w:t xml:space="preserve">Servicio de Administración Tributaria, para los</w:t>
      </w:r>
      <w:r w:rsidDel="00000000" w:rsidR="00000000" w:rsidRPr="00000000">
        <w:rPr>
          <w:sz w:val="18"/>
          <w:szCs w:val="18"/>
          <w:rtl w:val="0"/>
        </w:rPr>
        <w:t xml:space="preserve"> efectos legales correspondientes.</w:t>
      </w:r>
    </w:p>
    <w:p w:rsidR="00000000" w:rsidDel="00000000" w:rsidP="00000000" w:rsidRDefault="00000000" w:rsidRPr="00000000" w14:paraId="00000053">
      <w:pPr>
        <w:shd w:fill="ffffff" w:val="clear"/>
        <w:spacing w:after="100" w:lineRule="auto"/>
        <w:ind w:firstLine="280"/>
        <w:jc w:val="both"/>
        <w:rPr>
          <w:sz w:val="18"/>
          <w:szCs w:val="18"/>
        </w:rPr>
      </w:pPr>
      <w:r w:rsidDel="00000000" w:rsidR="00000000" w:rsidRPr="00000000">
        <w:rPr>
          <w:b w:val="1"/>
          <w:color w:val="2f2f2f"/>
          <w:sz w:val="18"/>
          <w:szCs w:val="18"/>
          <w:rtl w:val="0"/>
        </w:rPr>
        <w:t xml:space="preserve">31.</w:t>
      </w:r>
      <w:r w:rsidDel="00000000" w:rsidR="00000000" w:rsidRPr="00000000">
        <w:rPr>
          <w:color w:val="2f2f2f"/>
          <w:sz w:val="18"/>
          <w:szCs w:val="18"/>
          <w:rtl w:val="0"/>
        </w:rPr>
        <w:t xml:space="preserve"> </w:t>
      </w:r>
      <w:r w:rsidDel="00000000" w:rsidR="00000000" w:rsidRPr="00000000">
        <w:rPr>
          <w:sz w:val="18"/>
          <w:szCs w:val="18"/>
          <w:rtl w:val="0"/>
        </w:rPr>
        <w:t xml:space="preserve">La </w:t>
      </w:r>
      <w:r w:rsidDel="00000000" w:rsidR="00000000" w:rsidRPr="00000000">
        <w:rPr>
          <w:color w:val="2f2f2f"/>
          <w:sz w:val="18"/>
          <w:szCs w:val="18"/>
          <w:rtl w:val="0"/>
        </w:rPr>
        <w:t xml:space="preserve">presente</w:t>
      </w:r>
      <w:r w:rsidDel="00000000" w:rsidR="00000000" w:rsidRPr="00000000">
        <w:rPr>
          <w:sz w:val="18"/>
          <w:szCs w:val="18"/>
          <w:rtl w:val="0"/>
        </w:rPr>
        <w:t xml:space="preserve"> Resolución entrará en vigor al día siguiente de su publicación en el DOF.</w:t>
      </w:r>
    </w:p>
    <w:p w:rsidR="00000000" w:rsidDel="00000000" w:rsidP="00000000" w:rsidRDefault="00000000" w:rsidRPr="00000000" w14:paraId="0000005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Ciudad de México a, 25 de junio de 2020.- La Secretaria de Economía, </w:t>
      </w:r>
      <w:r w:rsidDel="00000000" w:rsidR="00000000" w:rsidRPr="00000000">
        <w:rPr>
          <w:b w:val="1"/>
          <w:color w:val="2f2f2f"/>
          <w:sz w:val="18"/>
          <w:szCs w:val="18"/>
          <w:rtl w:val="0"/>
        </w:rPr>
        <w:t xml:space="preserve">Graciela Márquez Colín</w:t>
      </w:r>
      <w:r w:rsidDel="00000000" w:rsidR="00000000" w:rsidRPr="00000000">
        <w:rPr>
          <w:color w:val="2f2f2f"/>
          <w:sz w:val="18"/>
          <w:szCs w:val="18"/>
          <w:rtl w:val="0"/>
        </w:rPr>
        <w:t xml:space="preserve">.- Rúbrica.</w:t>
      </w:r>
    </w:p>
    <w:p w:rsidR="00000000" w:rsidDel="00000000" w:rsidP="00000000" w:rsidRDefault="00000000" w:rsidRPr="00000000" w14:paraId="0000005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56">
      <w:pPr>
        <w:shd w:fill="ffffff" w:val="clear"/>
        <w:spacing w:after="100" w:lineRule="auto"/>
        <w:ind w:firstLine="280"/>
        <w:jc w:val="both"/>
        <w:rPr>
          <w:color w:val="2f2f2f"/>
          <w:sz w:val="18"/>
          <w:szCs w:val="18"/>
        </w:rPr>
      </w:pPr>
      <w:r w:rsidDel="00000000" w:rsidR="00000000" w:rsidRPr="00000000">
        <w:rPr>
          <w:rtl w:val="0"/>
        </w:rPr>
      </w:r>
    </w:p>
    <w:p w:rsidR="00000000" w:rsidDel="00000000" w:rsidP="00000000" w:rsidRDefault="00000000" w:rsidRPr="00000000" w14:paraId="00000057">
      <w:pPr>
        <w:shd w:fill="ffffff" w:val="clear"/>
        <w:spacing w:after="100" w:lineRule="auto"/>
        <w:ind w:firstLine="280"/>
        <w:jc w:val="both"/>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