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D889" w14:textId="77777777" w:rsidR="00B41C26" w:rsidRPr="00B41C26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color w:val="7030A0"/>
          <w:sz w:val="20"/>
          <w:szCs w:val="20"/>
        </w:rPr>
      </w:pPr>
      <w:r w:rsidRPr="00B41C26">
        <w:rPr>
          <w:rFonts w:ascii="Calibri" w:hAnsi="Calibri"/>
          <w:color w:val="7030A0"/>
          <w:sz w:val="20"/>
          <w:szCs w:val="20"/>
        </w:rPr>
        <w:t>CRITERIO JURISDICCIONAL 46/2020 (Aprobado 4ta. Sesión Ordinaria 29/04/2020)</w:t>
      </w:r>
    </w:p>
    <w:p w14:paraId="57B3EDB0" w14:textId="77777777" w:rsidR="00B41C26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  <w:r w:rsidRPr="00D26D33">
        <w:rPr>
          <w:rFonts w:ascii="Calibri" w:hAnsi="Calibri"/>
          <w:b/>
          <w:sz w:val="20"/>
          <w:szCs w:val="20"/>
        </w:rPr>
        <w:t>PRIMA DEL SEGURO DE RIESGOS DE TRABAJO. SU DETERMINACIÓN Y LA MULTA POR LA OMISIÓN EN SU PRESENTACIÓN SON ILEGALES SI SE ACREDITA QUE DURANTE EL PERIODO RESPECTIVO EL PATRÓN DIO DE BAJA A LA TOTALIDAD DE SUS TRABAJADORES.</w:t>
      </w:r>
      <w:r w:rsidRPr="00D26D33">
        <w:rPr>
          <w:rFonts w:ascii="Calibri" w:hAnsi="Calibri"/>
          <w:sz w:val="20"/>
          <w:szCs w:val="20"/>
        </w:rPr>
        <w:t xml:space="preserve"> Conforme a los artículos 15, fracción I y 72 de la Ley del Seguro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Social, se establece la obligación de los patrones de registrarse e inscribir a sus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trabajadores ante el Instituto Mexicano del Seguro Social (IMSS), comunicar sus altas y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bajas, las modificaciones de su salario y determinar la prima para el seguro de riesgos de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trabajo. Así, a consideración del Órgano Jurisdiccional es ilegal que el IMSS determine la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prima del seguro de riesgos de trabajo y además imponga una multa por la supuesta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omisión incurrida por el patrón en su determinación, sin considerar que en el caso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concreto, cesó la obligación patronal a la que se encontraba afecto el contribuyente ante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la presentación del aviso de baja de la totalidad de sus trabajadores, pues la terminación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de la relación laboral es un hecho que pone fin a las obligaciones patronales; sin que en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la especie el IMSS demostrara que el demandante se encontraba constreñido a cumplir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con dichas obligaciones ante la existencia de trabajadores inscritos a su servicio.</w:t>
      </w:r>
    </w:p>
    <w:p w14:paraId="2CB264B0" w14:textId="77777777" w:rsidR="00B41C26" w:rsidRPr="00D26D33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</w:p>
    <w:p w14:paraId="52CD6F0E" w14:textId="77777777" w:rsidR="00B41C26" w:rsidRPr="00D26D33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  <w:r w:rsidRPr="00D26D33">
        <w:rPr>
          <w:rFonts w:ascii="Calibri" w:hAnsi="Calibri"/>
          <w:sz w:val="20"/>
          <w:szCs w:val="20"/>
        </w:rPr>
        <w:t>Juicio Contencioso Administrativo en la vía ordinaria. Segunda Sala Regional de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Occidente del Tribunal Federal de Justicia Administrativa. 2019. Sentencia firme.</w:t>
      </w:r>
    </w:p>
    <w:p w14:paraId="2E2A51FD" w14:textId="77777777" w:rsidR="00B41C26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</w:p>
    <w:p w14:paraId="289831F3" w14:textId="77777777" w:rsidR="00B41C26" w:rsidRPr="00D26D33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  <w:r w:rsidRPr="00D26D33">
        <w:rPr>
          <w:rFonts w:ascii="Calibri" w:hAnsi="Calibri"/>
          <w:sz w:val="20"/>
          <w:szCs w:val="20"/>
        </w:rPr>
        <w:t>Relacionado con:</w:t>
      </w:r>
    </w:p>
    <w:p w14:paraId="71C1055A" w14:textId="77777777" w:rsidR="00B41C26" w:rsidRPr="00D26D33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  <w:r w:rsidRPr="00D26D33">
        <w:rPr>
          <w:rFonts w:ascii="Calibri" w:hAnsi="Calibri"/>
          <w:sz w:val="20"/>
          <w:szCs w:val="20"/>
        </w:rPr>
        <w:t>Criterio Jurisdiccional 67/2017 “SEGURO SOCIAL. PRIMA MEDIA DEL SEGURO DE RIESGOS DE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TRABAJO. NO SE DEBE CONSIDERAR COMO LA OPCIÓN DE COTIZACIÓN DEL PATRÓN CON MENOS DE DIEZ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TRABAJADORES POR EL SÓLO HECHO DE QUE NO PRESENTÓ LA DECLARACIÓN ANUAL</w:t>
      </w:r>
    </w:p>
    <w:p w14:paraId="14F731E1" w14:textId="77777777" w:rsidR="00B41C26" w:rsidRPr="00D26D33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  <w:r w:rsidRPr="00D26D33">
        <w:rPr>
          <w:rFonts w:ascii="Calibri" w:hAnsi="Calibri"/>
          <w:sz w:val="20"/>
          <w:szCs w:val="20"/>
        </w:rPr>
        <w:t>CORRESPONDIENTE.”</w:t>
      </w:r>
    </w:p>
    <w:p w14:paraId="6A4132AB" w14:textId="77777777" w:rsidR="00B41C26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  <w:r w:rsidRPr="00D26D33">
        <w:rPr>
          <w:rFonts w:ascii="Calibri" w:hAnsi="Calibri"/>
          <w:sz w:val="20"/>
          <w:szCs w:val="20"/>
        </w:rPr>
        <w:t>Criterio Jurisdiccional 68/2019 “IMSS. ES ILEGAL LA LIQUIDACIÓN POR CONCEPTO DE CUOTAS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 w:rsidRPr="00D26D33">
        <w:rPr>
          <w:rFonts w:ascii="Calibri" w:hAnsi="Calibri"/>
          <w:sz w:val="20"/>
          <w:szCs w:val="20"/>
        </w:rPr>
        <w:t>OBRERO PATRONALES</w:t>
      </w:r>
      <w:proofErr w:type="gramEnd"/>
      <w:r w:rsidRPr="00D26D33">
        <w:rPr>
          <w:rFonts w:ascii="Calibri" w:hAnsi="Calibri"/>
          <w:sz w:val="20"/>
          <w:szCs w:val="20"/>
        </w:rPr>
        <w:t xml:space="preserve"> POR EL PERIODO QUE ESTUVO DADO DE BAJA EL REGISTRO PATRONAL DE UNA</w:t>
      </w:r>
      <w:r>
        <w:rPr>
          <w:rFonts w:ascii="Calibri" w:hAnsi="Calibri"/>
          <w:sz w:val="20"/>
          <w:szCs w:val="20"/>
        </w:rPr>
        <w:t xml:space="preserve"> </w:t>
      </w:r>
      <w:r w:rsidRPr="00D26D33">
        <w:rPr>
          <w:rFonts w:ascii="Calibri" w:hAnsi="Calibri"/>
          <w:sz w:val="20"/>
          <w:szCs w:val="20"/>
        </w:rPr>
        <w:t>EMPRESA Y SE NEGÓ LA RELACIÓN LABORAL.”</w:t>
      </w:r>
    </w:p>
    <w:p w14:paraId="6241B138" w14:textId="77777777" w:rsidR="00B41C26" w:rsidRDefault="00B41C26" w:rsidP="00B41C26">
      <w:pPr>
        <w:pStyle w:val="Prrafodelista"/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</w:p>
    <w:p w14:paraId="0892C4A7" w14:textId="77777777" w:rsidR="00BD6113" w:rsidRPr="00B41C26" w:rsidRDefault="00B41C26">
      <w:pPr>
        <w:rPr>
          <w:lang w:val="es-ES_tradnl"/>
        </w:rPr>
      </w:pPr>
    </w:p>
    <w:sectPr w:rsidR="00BD6113" w:rsidRPr="00B41C26" w:rsidSect="00557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26"/>
    <w:rsid w:val="0055769F"/>
    <w:rsid w:val="0061524A"/>
    <w:rsid w:val="00B41C26"/>
    <w:rsid w:val="00D56840"/>
    <w:rsid w:val="00E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83BD5"/>
  <w15:chartTrackingRefBased/>
  <w15:docId w15:val="{D2009ED9-2E1F-5048-A095-170D3DD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C26"/>
    <w:pPr>
      <w:ind w:left="720"/>
      <w:contextualSpacing/>
    </w:pPr>
    <w:rPr>
      <w:rFonts w:eastAsiaTheme="minorEastAs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2021-02-19T14:59:00Z</dcterms:created>
  <dcterms:modified xsi:type="dcterms:W3CDTF">2021-02-19T14:59:00Z</dcterms:modified>
</cp:coreProperties>
</file>