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por el que se hace del conocimiento del público en general los días del año 2021, que serán considerados como inhábiles para efectos de los actos y procedimientos a cargo del Instituto del Fondo Nacional de la Vivienda para los Trabajadores</w:t>
      </w:r>
    </w:p>
    <w:p w:rsidR="00000000" w:rsidDel="00000000" w:rsidP="00000000" w:rsidRDefault="00000000" w:rsidRPr="00000000" w14:paraId="00000002">
      <w:pPr>
        <w:jc w:val="left"/>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4 de febrero del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del Fondo Nacional de la Vivienda para los Trabajadores.</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el propósito de dar certeza y seguridad jurídica a los acreditados, derechohabientes, patrones, órganos jurisdiccionales, autoridades administrativas, órganos gubernamentales y demás interesados respecto de los trámites que se lleven ante el Instituto del Fondo Nacional de la Vivienda para los Trabajadores (Infonavit o Instituto), con relación a los días en que no corren los plazos y términos, es necesario hacer del conocimiento del público en general, los días que se considerarán inhábiles en el 2021, por lo que he tenido a bien expedir el siguiente:</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AVISO POR EL QUE SE HACE DEL CONOCIMIENTO DEL PÚBLICO EN GENERAL LOS DÍAS DEL AÑO</w:t>
      </w:r>
    </w:p>
    <w:p w:rsidR="00000000" w:rsidDel="00000000" w:rsidP="00000000" w:rsidRDefault="00000000" w:rsidRPr="00000000" w14:paraId="00000008">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2021, QUE SERÁN CONSIDERADOS COMO INHÁBILES PARA EFECTOS DE LOS ACTOS Y</w:t>
      </w:r>
    </w:p>
    <w:p w:rsidR="00000000" w:rsidDel="00000000" w:rsidP="00000000" w:rsidRDefault="00000000" w:rsidRPr="00000000" w14:paraId="00000009">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PROCEDIMIENTOS A CARGO DEL INSTITUTO DEL FONDO NACIONAL DE LA VIVIENDA PARA LOS</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TRABAJADORES</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De conformidad con lo dispuesto por los artículos 1o. y 12, primero y segundo párrafos, del Código Fiscal de la Federación; 29 Ter de la Ley del Instituto del Fondo Nacional de la Vivienda para los Trabajadores; 65 de la Ley Federal de Procedimiento Contencioso Administrativo; 281 y 303 del Código Federal de Procedimientos Civiles y demás ordenamientos aplicables, en cumplimiento a lo dispuesto por el artículo 74 de la Ley Federal del Trabajo y al Contrato Colectivo de Trabajo del Instituto, para efectos de los actos y procedimientos que en ejercicio de sus atribuciones realizan las distintas unidades administrativas del Infonavit, se considerarán como inhábiles y, en consecuencia no correrán los plazos legales, los siguientes días del año 2021:</w:t>
      </w:r>
    </w:p>
    <w:p w:rsidR="00000000" w:rsidDel="00000000" w:rsidP="00000000" w:rsidRDefault="00000000" w:rsidRPr="00000000" w14:paraId="0000000C">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El 1° de enero</w:t>
      </w:r>
    </w:p>
    <w:p w:rsidR="00000000" w:rsidDel="00000000" w:rsidP="00000000" w:rsidRDefault="00000000" w:rsidRPr="00000000" w14:paraId="0000000D">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El 1º de febrero (en conmemoración del 5 de febrero)</w:t>
      </w:r>
    </w:p>
    <w:p w:rsidR="00000000" w:rsidDel="00000000" w:rsidP="00000000" w:rsidRDefault="00000000" w:rsidRPr="00000000" w14:paraId="0000000E">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El 15 de marzo (en conmemoración del 21 de marzo)</w:t>
      </w:r>
    </w:p>
    <w:p w:rsidR="00000000" w:rsidDel="00000000" w:rsidP="00000000" w:rsidRDefault="00000000" w:rsidRPr="00000000" w14:paraId="0000000F">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Del 29 de marzo al 02 de abril</w:t>
      </w:r>
    </w:p>
    <w:p w:rsidR="00000000" w:rsidDel="00000000" w:rsidP="00000000" w:rsidRDefault="00000000" w:rsidRPr="00000000" w14:paraId="00000010">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El 1° de mayo</w:t>
      </w:r>
    </w:p>
    <w:p w:rsidR="00000000" w:rsidDel="00000000" w:rsidP="00000000" w:rsidRDefault="00000000" w:rsidRPr="00000000" w14:paraId="00000011">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w:t>
      </w:r>
      <w:r w:rsidDel="00000000" w:rsidR="00000000" w:rsidRPr="00000000">
        <w:rPr>
          <w:rFonts w:ascii="Verdana" w:cs="Verdana" w:eastAsia="Verdana" w:hAnsi="Verdana"/>
          <w:color w:val="2f2f2f"/>
          <w:sz w:val="20"/>
          <w:szCs w:val="20"/>
          <w:rtl w:val="0"/>
        </w:rPr>
        <w:t xml:space="preserve">   El 10 de mayo</w:t>
      </w:r>
    </w:p>
    <w:p w:rsidR="00000000" w:rsidDel="00000000" w:rsidP="00000000" w:rsidRDefault="00000000" w:rsidRPr="00000000" w14:paraId="00000012">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w:t>
      </w:r>
      <w:r w:rsidDel="00000000" w:rsidR="00000000" w:rsidRPr="00000000">
        <w:rPr>
          <w:rFonts w:ascii="Verdana" w:cs="Verdana" w:eastAsia="Verdana" w:hAnsi="Verdana"/>
          <w:color w:val="2f2f2f"/>
          <w:sz w:val="20"/>
          <w:szCs w:val="20"/>
          <w:rtl w:val="0"/>
        </w:rPr>
        <w:t xml:space="preserve">   El 16 de septiembre</w:t>
      </w:r>
    </w:p>
    <w:p w:rsidR="00000000" w:rsidDel="00000000" w:rsidP="00000000" w:rsidRDefault="00000000" w:rsidRPr="00000000" w14:paraId="00000013">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VIII.</w:t>
      </w:r>
      <w:r w:rsidDel="00000000" w:rsidR="00000000" w:rsidRPr="00000000">
        <w:rPr>
          <w:rFonts w:ascii="Verdana" w:cs="Verdana" w:eastAsia="Verdana" w:hAnsi="Verdana"/>
          <w:color w:val="2f2f2f"/>
          <w:sz w:val="20"/>
          <w:szCs w:val="20"/>
          <w:rtl w:val="0"/>
        </w:rPr>
        <w:t xml:space="preserve">  El 02 de noviembre</w:t>
      </w:r>
    </w:p>
    <w:p w:rsidR="00000000" w:rsidDel="00000000" w:rsidP="00000000" w:rsidRDefault="00000000" w:rsidRPr="00000000" w14:paraId="00000014">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IX.</w:t>
      </w:r>
      <w:r w:rsidDel="00000000" w:rsidR="00000000" w:rsidRPr="00000000">
        <w:rPr>
          <w:rFonts w:ascii="Verdana" w:cs="Verdana" w:eastAsia="Verdana" w:hAnsi="Verdana"/>
          <w:color w:val="2f2f2f"/>
          <w:sz w:val="20"/>
          <w:szCs w:val="20"/>
          <w:rtl w:val="0"/>
        </w:rPr>
        <w:t xml:space="preserve">   El 15 de noviembre (en conmemoración del 20 de noviembre)</w:t>
      </w:r>
    </w:p>
    <w:p w:rsidR="00000000" w:rsidDel="00000000" w:rsidP="00000000" w:rsidRDefault="00000000" w:rsidRPr="00000000" w14:paraId="00000015">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w:t>
      </w:r>
      <w:r w:rsidDel="00000000" w:rsidR="00000000" w:rsidRPr="00000000">
        <w:rPr>
          <w:rFonts w:ascii="Verdana" w:cs="Verdana" w:eastAsia="Verdana" w:hAnsi="Verdana"/>
          <w:color w:val="2f2f2f"/>
          <w:sz w:val="20"/>
          <w:szCs w:val="20"/>
          <w:rtl w:val="0"/>
        </w:rPr>
        <w:t xml:space="preserve">    El 24 de diciembre</w:t>
      </w:r>
    </w:p>
    <w:p w:rsidR="00000000" w:rsidDel="00000000" w:rsidP="00000000" w:rsidRDefault="00000000" w:rsidRPr="00000000" w14:paraId="00000016">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w:t>
      </w:r>
      <w:r w:rsidDel="00000000" w:rsidR="00000000" w:rsidRPr="00000000">
        <w:rPr>
          <w:rFonts w:ascii="Verdana" w:cs="Verdana" w:eastAsia="Verdana" w:hAnsi="Verdana"/>
          <w:color w:val="2f2f2f"/>
          <w:sz w:val="20"/>
          <w:szCs w:val="20"/>
          <w:rtl w:val="0"/>
        </w:rPr>
        <w:t xml:space="preserve">   El 25 de diciembre</w:t>
      </w:r>
    </w:p>
    <w:p w:rsidR="00000000" w:rsidDel="00000000" w:rsidP="00000000" w:rsidRDefault="00000000" w:rsidRPr="00000000" w14:paraId="00000017">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w:t>
      </w:r>
      <w:r w:rsidDel="00000000" w:rsidR="00000000" w:rsidRPr="00000000">
        <w:rPr>
          <w:rFonts w:ascii="Verdana" w:cs="Verdana" w:eastAsia="Verdana" w:hAnsi="Verdana"/>
          <w:color w:val="2f2f2f"/>
          <w:sz w:val="20"/>
          <w:szCs w:val="20"/>
          <w:rtl w:val="0"/>
        </w:rPr>
        <w:t xml:space="preserve">   El 31 de diciembre</w:t>
      </w:r>
    </w:p>
    <w:p w:rsidR="00000000" w:rsidDel="00000000" w:rsidP="00000000" w:rsidRDefault="00000000" w:rsidRPr="00000000" w14:paraId="00000018">
      <w:pPr>
        <w:shd w:fill="ffffff" w:val="clear"/>
        <w:spacing w:after="100" w:lineRule="auto"/>
        <w:ind w:left="1160" w:hanging="44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XIII.</w:t>
      </w:r>
      <w:r w:rsidDel="00000000" w:rsidR="00000000" w:rsidRPr="00000000">
        <w:rPr>
          <w:rFonts w:ascii="Verdana" w:cs="Verdana" w:eastAsia="Verdana" w:hAnsi="Verdana"/>
          <w:color w:val="2f2f2f"/>
          <w:sz w:val="20"/>
          <w:szCs w:val="20"/>
          <w:rtl w:val="0"/>
        </w:rPr>
        <w:t xml:space="preserve">  Los que determinen las autoridades del Infonavit</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1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13 de enero de 2021.- El Director General, </w:t>
      </w:r>
      <w:r w:rsidDel="00000000" w:rsidR="00000000" w:rsidRPr="00000000">
        <w:rPr>
          <w:rFonts w:ascii="Verdana" w:cs="Verdana" w:eastAsia="Verdana" w:hAnsi="Verdana"/>
          <w:b w:val="1"/>
          <w:color w:val="2f2f2f"/>
          <w:sz w:val="20"/>
          <w:szCs w:val="20"/>
          <w:rtl w:val="0"/>
        </w:rPr>
        <w:t xml:space="preserve">Carlos Martínez Velázquez</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