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da a conocer el cupo para importar carne de res bajo el arancel-cupo que se indica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28 de junio de 2021)</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fundamento en los artículos 34 fracciones I y XXXIII de la Ley Orgánica de la Administración Pública Federal; 4o. fracción III, 5o. fracciones III y V, 17, 20, 23 y 24 de la Ley de Comercio Exterior; 26 del Reglamento de la Ley de Comercio Exterior; y 5 fracción XVII del Reglamento Interior de la Secretaría de Economía, y</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 de julio de 2020 se publicó en el Diario Oficial de la Federación el Decreto por el que se expide la Ley de los Impuestos Generales de Importación y de Exportación, y se reforman y adicionan diversas disposiciones de la Ley Aduanera, en el cual se establece la Tarifa arancelaria aplicable a la importación y exportación de mercancías en territorio nacional, la cual ha sido modificada mediante diversos publicados en el mismo órgano de difusión oficial el 24 de diciembre de 2020 y el 22 de febrero de 2021.</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 y ha sido modificado mediante diversos publicados en el mismo órgano de difusión oficial el 27 de diciembre de 2020 y el 23 de febrero de 2021.</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18 de noviembre de 2020 se publicó en el Diario Oficial de la Federación el Acuerdo por el que se dan a conocer las tablas de correlación entre las fracciones arancelarias de la Tarifa de la Ley de los Impuestos Generales de Importación y de Exportación (TIGIE) 2012-2020, con el objeto de facilitar la aplicación de la nomenclatura arancelaria, mismo que fue modificado mediante diverso publicado en el mismo órgano de difusión oficial el 27 de diciembre de 2020.</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24 de diciembre de 2020 se publicó en el Diario Oficial de la Federación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con el objeto, entre otros, de establecer el arancel -cupo aplicable a las fracciones arancelarias </w:t>
      </w:r>
      <w:r w:rsidDel="00000000" w:rsidR="00000000" w:rsidRPr="00000000">
        <w:rPr>
          <w:sz w:val="18"/>
          <w:szCs w:val="18"/>
          <w:rtl w:val="0"/>
        </w:rPr>
        <w:t xml:space="preserve">0201.10.01, 0201.20.99, 0201.30.01, 0202.10.01, 0202.20.99 y 0202.30.01, correspondientes a carne de bovino fresca, refrigerada y congelada (c</w:t>
      </w:r>
      <w:r w:rsidDel="00000000" w:rsidR="00000000" w:rsidRPr="00000000">
        <w:rPr>
          <w:color w:val="2f2f2f"/>
          <w:sz w:val="18"/>
          <w:szCs w:val="18"/>
          <w:rtl w:val="0"/>
        </w:rPr>
        <w:t xml:space="preserve">arne de res), cuando el importador cuente con certificado de cupo expedido por la Secretaría de Economía.</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arancel-cupo mencionado fue establecido con el objeto de contar con mecanismos que permitan actuar con oportunidad ante situaciones que puedan afectar la disponibilidad y acceso al producto antes señalado, para garantizar el abasto y proteger el ingreso de las familias mexicanas, contribuyendo a la estabilidad del mercado nacional en beneficio de los consumidores.</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de acuerdo con información del Instituto Nacional de Estadística y Geografía (INEGI), el Índice Nacional de Precios al Consumidor (INPC) de la carne de res presentó tasas de inflación mensual anualizada, con tasas superiores a las observadas desde el 2017, en el periodo diciembre 2020 - abril 2021 (5.4% en diciembre de 2020; 6.0% en enero, 6.9% en febrero, 8.0% en marzo y 8.3% en abril de 2021), lo anterior debido principalmente a la reducción de la disponibilidad por el crecimiento de las exportaciones de carne de res a los Estados Unidos de América, la caída en el nivel de las importaciones y presiones por el incremento del precio del maíz.</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es necesario ofrecer a la industria alimentaria nacional acceso a las mejores oportunidades disponibles en los mercados internacionales a fin de abatir costos y con ello propiciar su competitividad y mejores precios al consumidor final, por lo que es imprescindible establecer un nivel arancelario preferencial para la carne de res.</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corresponde a la Secretaría de Economía formular y conducir las políticas generales de industria, comercio exterior, interior, abasto y precios del país, por lo que, resulta necesario establecer un cupo para importar carne de res, con la finalidad de coadyuvar al abasto, la estabilidad de precios en el mercado y a la no erosión del incremento salarial.</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cumplimiento a lo señalado por la Ley de Comercio Exterior, las disposiciones a las que se refiere el presente instrumento fueron sometidas a la consideración de la Comisión de Comercio Exterior y opinadas</w:t>
      </w:r>
    </w:p>
    <w:p w:rsidR="00000000" w:rsidDel="00000000" w:rsidP="00000000" w:rsidRDefault="00000000" w:rsidRPr="00000000" w14:paraId="00000011">
      <w:pPr>
        <w:shd w:fill="ffffff" w:val="clear"/>
        <w:spacing w:after="100" w:lineRule="auto"/>
        <w:jc w:val="both"/>
        <w:rPr>
          <w:color w:val="2f2f2f"/>
          <w:sz w:val="18"/>
          <w:szCs w:val="18"/>
        </w:rPr>
      </w:pPr>
      <w:r w:rsidDel="00000000" w:rsidR="00000000" w:rsidRPr="00000000">
        <w:rPr>
          <w:color w:val="2f2f2f"/>
          <w:sz w:val="18"/>
          <w:szCs w:val="18"/>
          <w:rtl w:val="0"/>
        </w:rPr>
        <w:t xml:space="preserve">por la misma, por lo que se expide el siguiente:</w:t>
      </w:r>
    </w:p>
    <w:p w:rsidR="00000000" w:rsidDel="00000000" w:rsidP="00000000" w:rsidRDefault="00000000" w:rsidRPr="00000000" w14:paraId="00000012">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 POR EL QUE SE DA A CONOCER EL CUPO PARA IMPORTAR CARNE DE RES BAJO EL</w:t>
      </w:r>
    </w:p>
    <w:p w:rsidR="00000000" w:rsidDel="00000000" w:rsidP="00000000" w:rsidRDefault="00000000" w:rsidRPr="00000000" w14:paraId="0000001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ARANCEL-CUPO QUE SE INDICA</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Se establece un cupo para importar al 31 de diciembre de 2021, carne de bovino fresca, refrigerada y congelada (carne de res) con el arancel-cupo establecido en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publicado en el Diario Oficial de la Federación el 24 de diciembre de 2020, como se indica en la siguiente tabla:</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1080"/>
        <w:gridCol w:w="4335"/>
        <w:gridCol w:w="1635"/>
        <w:tblGridChange w:id="0">
          <w:tblGrid>
            <w:gridCol w:w="1755"/>
            <w:gridCol w:w="1080"/>
            <w:gridCol w:w="4335"/>
            <w:gridCol w:w="1635"/>
          </w:tblGrid>
        </w:tblGridChange>
      </w:tblGrid>
      <w:tr>
        <w:trPr>
          <w:trHeight w:val="77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5">
            <w:pPr>
              <w:spacing w:after="100" w:lineRule="auto"/>
              <w:ind w:left="80" w:firstLine="0"/>
              <w:jc w:val="center"/>
              <w:rPr>
                <w:b w:val="1"/>
                <w:sz w:val="18"/>
                <w:szCs w:val="18"/>
              </w:rPr>
            </w:pPr>
            <w:r w:rsidDel="00000000" w:rsidR="00000000" w:rsidRPr="00000000">
              <w:rPr>
                <w:b w:val="1"/>
                <w:sz w:val="18"/>
                <w:szCs w:val="18"/>
                <w:rtl w:val="0"/>
              </w:rPr>
              <w:t xml:space="preserve">Fracción</w:t>
            </w:r>
          </w:p>
          <w:p w:rsidR="00000000" w:rsidDel="00000000" w:rsidP="00000000" w:rsidRDefault="00000000" w:rsidRPr="00000000" w14:paraId="00000016">
            <w:pPr>
              <w:spacing w:after="100" w:lineRule="auto"/>
              <w:ind w:left="80" w:firstLine="0"/>
              <w:jc w:val="center"/>
              <w:rPr>
                <w:b w:val="1"/>
                <w:sz w:val="18"/>
                <w:szCs w:val="18"/>
              </w:rPr>
            </w:pPr>
            <w:r w:rsidDel="00000000" w:rsidR="00000000" w:rsidRPr="00000000">
              <w:rPr>
                <w:b w:val="1"/>
                <w:sz w:val="18"/>
                <w:szCs w:val="18"/>
                <w:rtl w:val="0"/>
              </w:rPr>
              <w:t xml:space="preserve">arancelaria</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7">
            <w:pPr>
              <w:spacing w:after="100" w:lineRule="auto"/>
              <w:ind w:left="80" w:firstLine="0"/>
              <w:jc w:val="center"/>
              <w:rPr>
                <w:b w:val="1"/>
                <w:sz w:val="18"/>
                <w:szCs w:val="18"/>
              </w:rPr>
            </w:pPr>
            <w:r w:rsidDel="00000000" w:rsidR="00000000" w:rsidRPr="00000000">
              <w:rPr>
                <w:b w:val="1"/>
                <w:sz w:val="18"/>
                <w:szCs w:val="18"/>
                <w:rtl w:val="0"/>
              </w:rPr>
              <w:t xml:space="preserve">NICO</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8">
            <w:pPr>
              <w:spacing w:after="100" w:lineRule="auto"/>
              <w:ind w:left="80" w:firstLine="0"/>
              <w:jc w:val="center"/>
              <w:rPr>
                <w:b w:val="1"/>
                <w:sz w:val="18"/>
                <w:szCs w:val="18"/>
              </w:rPr>
            </w:pPr>
            <w:r w:rsidDel="00000000" w:rsidR="00000000" w:rsidRPr="00000000">
              <w:rPr>
                <w:b w:val="1"/>
                <w:sz w:val="18"/>
                <w:szCs w:val="18"/>
                <w:rtl w:val="0"/>
              </w:rPr>
              <w:t xml:space="preserve">Descripción NICO</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9">
            <w:pPr>
              <w:spacing w:after="100" w:lineRule="auto"/>
              <w:ind w:left="80" w:firstLine="0"/>
              <w:jc w:val="center"/>
              <w:rPr>
                <w:b w:val="1"/>
                <w:sz w:val="18"/>
                <w:szCs w:val="18"/>
              </w:rPr>
            </w:pPr>
            <w:r w:rsidDel="00000000" w:rsidR="00000000" w:rsidRPr="00000000">
              <w:rPr>
                <w:b w:val="1"/>
                <w:sz w:val="18"/>
                <w:szCs w:val="18"/>
                <w:rtl w:val="0"/>
              </w:rPr>
              <w:t xml:space="preserve">Monto</w:t>
            </w:r>
          </w:p>
          <w:p w:rsidR="00000000" w:rsidDel="00000000" w:rsidP="00000000" w:rsidRDefault="00000000" w:rsidRPr="00000000" w14:paraId="0000001A">
            <w:pPr>
              <w:spacing w:after="100" w:lineRule="auto"/>
              <w:ind w:left="80" w:firstLine="0"/>
              <w:jc w:val="center"/>
              <w:rPr>
                <w:b w:val="1"/>
                <w:sz w:val="18"/>
                <w:szCs w:val="18"/>
              </w:rPr>
            </w:pPr>
            <w:r w:rsidDel="00000000" w:rsidR="00000000" w:rsidRPr="00000000">
              <w:rPr>
                <w:b w:val="1"/>
                <w:sz w:val="18"/>
                <w:szCs w:val="18"/>
                <w:rtl w:val="0"/>
              </w:rPr>
              <w:t xml:space="preserve">(toneladas)</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B">
            <w:pPr>
              <w:spacing w:after="100" w:lineRule="auto"/>
              <w:ind w:left="80" w:firstLine="0"/>
              <w:jc w:val="center"/>
              <w:rPr>
                <w:sz w:val="18"/>
                <w:szCs w:val="18"/>
              </w:rPr>
            </w:pPr>
            <w:r w:rsidDel="00000000" w:rsidR="00000000" w:rsidRPr="00000000">
              <w:rPr>
                <w:sz w:val="18"/>
                <w:szCs w:val="18"/>
                <w:rtl w:val="0"/>
              </w:rPr>
              <w:t xml:space="preserve">0201.10.01</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C">
            <w:pPr>
              <w:spacing w:after="100" w:lineRule="auto"/>
              <w:ind w:left="80" w:firstLine="0"/>
              <w:jc w:val="center"/>
              <w:rPr>
                <w:sz w:val="18"/>
                <w:szCs w:val="18"/>
              </w:rPr>
            </w:pPr>
            <w:r w:rsidDel="00000000" w:rsidR="00000000" w:rsidRPr="00000000">
              <w:rPr>
                <w:sz w:val="18"/>
                <w:szCs w:val="18"/>
                <w:rtl w:val="0"/>
              </w:rPr>
              <w:t xml:space="preserve">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D">
            <w:pPr>
              <w:spacing w:after="100" w:lineRule="auto"/>
              <w:ind w:left="80" w:firstLine="0"/>
              <w:jc w:val="both"/>
              <w:rPr>
                <w:sz w:val="18"/>
                <w:szCs w:val="18"/>
              </w:rPr>
            </w:pPr>
            <w:r w:rsidDel="00000000" w:rsidR="00000000" w:rsidRPr="00000000">
              <w:rPr>
                <w:sz w:val="18"/>
                <w:szCs w:val="18"/>
                <w:rtl w:val="0"/>
              </w:rPr>
              <w:t xml:space="preserve">En canales o medias canales.</w:t>
            </w:r>
          </w:p>
        </w:tc>
        <w:tc>
          <w:tcPr>
            <w:vMerge w:val="restart"/>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E">
            <w:pPr>
              <w:spacing w:after="100" w:lineRule="auto"/>
              <w:ind w:left="80" w:firstLine="0"/>
              <w:jc w:val="center"/>
              <w:rPr>
                <w:sz w:val="18"/>
                <w:szCs w:val="18"/>
              </w:rPr>
            </w:pPr>
            <w:r w:rsidDel="00000000" w:rsidR="00000000" w:rsidRPr="00000000">
              <w:rPr>
                <w:sz w:val="18"/>
                <w:szCs w:val="18"/>
                <w:rtl w:val="0"/>
              </w:rPr>
              <w:t xml:space="preserve">7,000</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F">
            <w:pPr>
              <w:spacing w:after="100" w:lineRule="auto"/>
              <w:ind w:left="80" w:firstLine="0"/>
              <w:jc w:val="center"/>
              <w:rPr>
                <w:sz w:val="18"/>
                <w:szCs w:val="18"/>
              </w:rPr>
            </w:pPr>
            <w:r w:rsidDel="00000000" w:rsidR="00000000" w:rsidRPr="00000000">
              <w:rPr>
                <w:sz w:val="18"/>
                <w:szCs w:val="18"/>
                <w:rtl w:val="0"/>
              </w:rPr>
              <w:t xml:space="preserve">0201.20.99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0">
            <w:pPr>
              <w:spacing w:after="100" w:lineRule="auto"/>
              <w:ind w:left="80" w:firstLine="0"/>
              <w:jc w:val="center"/>
              <w:rPr>
                <w:sz w:val="18"/>
                <w:szCs w:val="18"/>
              </w:rPr>
            </w:pPr>
            <w:r w:rsidDel="00000000" w:rsidR="00000000" w:rsidRPr="00000000">
              <w:rPr>
                <w:sz w:val="18"/>
                <w:szCs w:val="18"/>
                <w:rtl w:val="0"/>
              </w:rPr>
              <w:t xml:space="preserve">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1">
            <w:pPr>
              <w:spacing w:after="100" w:lineRule="auto"/>
              <w:ind w:left="80" w:firstLine="0"/>
              <w:jc w:val="both"/>
              <w:rPr>
                <w:sz w:val="18"/>
                <w:szCs w:val="18"/>
              </w:rPr>
            </w:pPr>
            <w:r w:rsidDel="00000000" w:rsidR="00000000" w:rsidRPr="00000000">
              <w:rPr>
                <w:sz w:val="18"/>
                <w:szCs w:val="18"/>
                <w:rtl w:val="0"/>
              </w:rPr>
              <w:t xml:space="preserve">Los demás cortes (trozos) sin deshuesar.</w:t>
            </w:r>
          </w:p>
        </w:tc>
        <w:tc>
          <w:tcPr>
            <w:vMerge w:val="continue"/>
            <w:tcBorders>
              <w:bottom w:color="000000" w:space="0" w:sz="0" w:val="nil"/>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ind w:left="80" w:firstLine="0"/>
              <w:jc w:val="both"/>
              <w:rPr>
                <w:color w:val="2f2f2f"/>
                <w:sz w:val="18"/>
                <w:szCs w:val="18"/>
              </w:rPr>
            </w:pPr>
            <w:r w:rsidDel="00000000" w:rsidR="00000000" w:rsidRPr="00000000">
              <w:rPr>
                <w:rtl w:val="0"/>
              </w:rPr>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3">
            <w:pPr>
              <w:spacing w:after="100" w:lineRule="auto"/>
              <w:ind w:left="80" w:firstLine="0"/>
              <w:jc w:val="center"/>
              <w:rPr>
                <w:sz w:val="18"/>
                <w:szCs w:val="18"/>
              </w:rPr>
            </w:pPr>
            <w:r w:rsidDel="00000000" w:rsidR="00000000" w:rsidRPr="00000000">
              <w:rPr>
                <w:sz w:val="18"/>
                <w:szCs w:val="18"/>
                <w:rtl w:val="0"/>
              </w:rPr>
              <w:t xml:space="preserve">0201.30.01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4">
            <w:pPr>
              <w:spacing w:after="100" w:lineRule="auto"/>
              <w:ind w:left="80" w:firstLine="0"/>
              <w:jc w:val="center"/>
              <w:rPr>
                <w:sz w:val="18"/>
                <w:szCs w:val="18"/>
              </w:rPr>
            </w:pPr>
            <w:r w:rsidDel="00000000" w:rsidR="00000000" w:rsidRPr="00000000">
              <w:rPr>
                <w:sz w:val="18"/>
                <w:szCs w:val="18"/>
                <w:rtl w:val="0"/>
              </w:rPr>
              <w:t xml:space="preserve">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5">
            <w:pPr>
              <w:spacing w:after="100" w:lineRule="auto"/>
              <w:ind w:left="80" w:firstLine="0"/>
              <w:jc w:val="both"/>
              <w:rPr>
                <w:sz w:val="18"/>
                <w:szCs w:val="18"/>
              </w:rPr>
            </w:pPr>
            <w:r w:rsidDel="00000000" w:rsidR="00000000" w:rsidRPr="00000000">
              <w:rPr>
                <w:sz w:val="18"/>
                <w:szCs w:val="18"/>
                <w:rtl w:val="0"/>
              </w:rPr>
              <w:t xml:space="preserve">Deshuesada.</w:t>
            </w:r>
          </w:p>
        </w:tc>
        <w:tc>
          <w:tcPr>
            <w:vMerge w:val="continue"/>
            <w:tcBorders>
              <w:bottom w:color="000000" w:space="0" w:sz="0" w:val="nil"/>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left="80" w:firstLine="0"/>
              <w:jc w:val="both"/>
              <w:rPr>
                <w:color w:val="2f2f2f"/>
                <w:sz w:val="18"/>
                <w:szCs w:val="18"/>
              </w:rPr>
            </w:pPr>
            <w:r w:rsidDel="00000000" w:rsidR="00000000" w:rsidRPr="00000000">
              <w:rPr>
                <w:rtl w:val="0"/>
              </w:rPr>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7">
            <w:pPr>
              <w:spacing w:after="100" w:lineRule="auto"/>
              <w:ind w:left="80" w:firstLine="0"/>
              <w:jc w:val="center"/>
              <w:rPr>
                <w:sz w:val="18"/>
                <w:szCs w:val="18"/>
              </w:rPr>
            </w:pPr>
            <w:r w:rsidDel="00000000" w:rsidR="00000000" w:rsidRPr="00000000">
              <w:rPr>
                <w:sz w:val="18"/>
                <w:szCs w:val="18"/>
                <w:rtl w:val="0"/>
              </w:rPr>
              <w:t xml:space="preserve">0202.10.01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8">
            <w:pPr>
              <w:spacing w:after="100" w:lineRule="auto"/>
              <w:ind w:left="80" w:firstLine="0"/>
              <w:jc w:val="center"/>
              <w:rPr>
                <w:sz w:val="18"/>
                <w:szCs w:val="18"/>
              </w:rPr>
            </w:pPr>
            <w:r w:rsidDel="00000000" w:rsidR="00000000" w:rsidRPr="00000000">
              <w:rPr>
                <w:sz w:val="18"/>
                <w:szCs w:val="18"/>
                <w:rtl w:val="0"/>
              </w:rPr>
              <w:t xml:space="preserve">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9">
            <w:pPr>
              <w:spacing w:after="100" w:lineRule="auto"/>
              <w:ind w:left="80" w:firstLine="0"/>
              <w:jc w:val="both"/>
              <w:rPr>
                <w:sz w:val="18"/>
                <w:szCs w:val="18"/>
              </w:rPr>
            </w:pPr>
            <w:r w:rsidDel="00000000" w:rsidR="00000000" w:rsidRPr="00000000">
              <w:rPr>
                <w:sz w:val="18"/>
                <w:szCs w:val="18"/>
                <w:rtl w:val="0"/>
              </w:rPr>
              <w:t xml:space="preserve">En canales o medias canales.</w:t>
            </w:r>
          </w:p>
        </w:tc>
        <w:tc>
          <w:tcPr>
            <w:vMerge w:val="continue"/>
            <w:tcBorders>
              <w:bottom w:color="000000" w:space="0" w:sz="0" w:val="nil"/>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ind w:left="80" w:firstLine="0"/>
              <w:jc w:val="both"/>
              <w:rPr>
                <w:color w:val="2f2f2f"/>
                <w:sz w:val="18"/>
                <w:szCs w:val="18"/>
              </w:rPr>
            </w:pPr>
            <w:r w:rsidDel="00000000" w:rsidR="00000000" w:rsidRPr="00000000">
              <w:rPr>
                <w:rtl w:val="0"/>
              </w:rPr>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B">
            <w:pPr>
              <w:spacing w:after="100" w:lineRule="auto"/>
              <w:ind w:left="80" w:firstLine="0"/>
              <w:jc w:val="center"/>
              <w:rPr>
                <w:sz w:val="18"/>
                <w:szCs w:val="18"/>
              </w:rPr>
            </w:pPr>
            <w:r w:rsidDel="00000000" w:rsidR="00000000" w:rsidRPr="00000000">
              <w:rPr>
                <w:sz w:val="18"/>
                <w:szCs w:val="18"/>
                <w:rtl w:val="0"/>
              </w:rPr>
              <w:t xml:space="preserve">0202.20.99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C">
            <w:pPr>
              <w:spacing w:after="100" w:lineRule="auto"/>
              <w:ind w:left="80" w:firstLine="0"/>
              <w:jc w:val="center"/>
              <w:rPr>
                <w:sz w:val="18"/>
                <w:szCs w:val="18"/>
              </w:rPr>
            </w:pPr>
            <w:r w:rsidDel="00000000" w:rsidR="00000000" w:rsidRPr="00000000">
              <w:rPr>
                <w:sz w:val="18"/>
                <w:szCs w:val="18"/>
                <w:rtl w:val="0"/>
              </w:rPr>
              <w:t xml:space="preserve">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D">
            <w:pPr>
              <w:spacing w:after="100" w:lineRule="auto"/>
              <w:ind w:left="80" w:firstLine="0"/>
              <w:jc w:val="both"/>
              <w:rPr>
                <w:sz w:val="18"/>
                <w:szCs w:val="18"/>
              </w:rPr>
            </w:pPr>
            <w:r w:rsidDel="00000000" w:rsidR="00000000" w:rsidRPr="00000000">
              <w:rPr>
                <w:sz w:val="18"/>
                <w:szCs w:val="18"/>
                <w:rtl w:val="0"/>
              </w:rPr>
              <w:t xml:space="preserve">Los demás cortes (trozos) sin deshuesar.</w:t>
            </w:r>
          </w:p>
        </w:tc>
        <w:tc>
          <w:tcPr>
            <w:vMerge w:val="continue"/>
            <w:tcBorders>
              <w:bottom w:color="000000" w:space="0" w:sz="0" w:val="nil"/>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ind w:left="80" w:firstLine="0"/>
              <w:jc w:val="both"/>
              <w:rPr>
                <w:color w:val="2f2f2f"/>
                <w:sz w:val="18"/>
                <w:szCs w:val="18"/>
              </w:rPr>
            </w:pPr>
            <w:r w:rsidDel="00000000" w:rsidR="00000000" w:rsidRPr="00000000">
              <w:rPr>
                <w:rtl w:val="0"/>
              </w:rPr>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2F">
            <w:pPr>
              <w:spacing w:after="100" w:lineRule="auto"/>
              <w:ind w:left="80" w:firstLine="0"/>
              <w:jc w:val="center"/>
              <w:rPr>
                <w:sz w:val="18"/>
                <w:szCs w:val="18"/>
              </w:rPr>
            </w:pPr>
            <w:r w:rsidDel="00000000" w:rsidR="00000000" w:rsidRPr="00000000">
              <w:rPr>
                <w:sz w:val="18"/>
                <w:szCs w:val="18"/>
                <w:rtl w:val="0"/>
              </w:rPr>
              <w:t xml:space="preserve">0202.30.01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30">
            <w:pPr>
              <w:spacing w:after="100" w:lineRule="auto"/>
              <w:ind w:left="80" w:firstLine="0"/>
              <w:jc w:val="center"/>
              <w:rPr>
                <w:sz w:val="18"/>
                <w:szCs w:val="18"/>
              </w:rPr>
            </w:pPr>
            <w:r w:rsidDel="00000000" w:rsidR="00000000" w:rsidRPr="00000000">
              <w:rPr>
                <w:sz w:val="18"/>
                <w:szCs w:val="18"/>
                <w:rtl w:val="0"/>
              </w:rPr>
              <w:t xml:space="preserve">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031">
            <w:pPr>
              <w:spacing w:after="100" w:lineRule="auto"/>
              <w:ind w:left="80" w:firstLine="0"/>
              <w:jc w:val="both"/>
              <w:rPr>
                <w:sz w:val="18"/>
                <w:szCs w:val="18"/>
              </w:rPr>
            </w:pPr>
            <w:r w:rsidDel="00000000" w:rsidR="00000000" w:rsidRPr="00000000">
              <w:rPr>
                <w:sz w:val="18"/>
                <w:szCs w:val="18"/>
                <w:rtl w:val="0"/>
              </w:rPr>
              <w:t xml:space="preserve">Deshuesada.</w:t>
            </w:r>
          </w:p>
        </w:tc>
        <w:tc>
          <w:tcPr>
            <w:vMerge w:val="continue"/>
            <w:tcBorders>
              <w:bottom w:color="000000" w:space="0" w:sz="0" w:val="nil"/>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ind w:left="80" w:firstLine="0"/>
              <w:jc w:val="both"/>
              <w:rPr>
                <w:color w:val="2f2f2f"/>
                <w:sz w:val="18"/>
                <w:szCs w:val="18"/>
              </w:rPr>
            </w:pPr>
            <w:r w:rsidDel="00000000" w:rsidR="00000000" w:rsidRPr="00000000">
              <w:rPr>
                <w:rtl w:val="0"/>
              </w:rPr>
            </w:r>
          </w:p>
        </w:tc>
      </w:tr>
    </w:tbl>
    <w:p w:rsidR="00000000" w:rsidDel="00000000" w:rsidP="00000000" w:rsidRDefault="00000000" w:rsidRPr="00000000" w14:paraId="000000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El cupo a que se refiere el punto Primero del presente Acuerdo se asignará bajo el procedimiento de asignación directa en su modalidad de "Primero en tiempo, Primero en derecho".</w:t>
      </w:r>
    </w:p>
    <w:p w:rsidR="00000000" w:rsidDel="00000000" w:rsidP="00000000" w:rsidRDefault="00000000" w:rsidRPr="00000000" w14:paraId="0000003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Tercero.-</w:t>
      </w:r>
      <w:r w:rsidDel="00000000" w:rsidR="00000000" w:rsidRPr="00000000">
        <w:rPr>
          <w:color w:val="2f2f2f"/>
          <w:sz w:val="18"/>
          <w:szCs w:val="18"/>
          <w:rtl w:val="0"/>
        </w:rPr>
        <w:t xml:space="preserve"> Podrán solicitar la asignación del cupo previsto en el punto Primero del presente Acuerdo, las personas físicas y morales establecidas en los Estados Unidos Mexicanos.</w:t>
      </w:r>
    </w:p>
    <w:p w:rsidR="00000000" w:rsidDel="00000000" w:rsidP="00000000" w:rsidRDefault="00000000" w:rsidRPr="00000000" w14:paraId="0000003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Cuarto.-</w:t>
      </w:r>
      <w:r w:rsidDel="00000000" w:rsidR="00000000" w:rsidRPr="00000000">
        <w:rPr>
          <w:color w:val="2f2f2f"/>
          <w:sz w:val="18"/>
          <w:szCs w:val="18"/>
          <w:rtl w:val="0"/>
        </w:rPr>
        <w:t xml:space="preserve"> El procedimiento de asignación directa en la modalidad de "Primero en tiempo, Primero en derecho" se efectuará conforme a los siguientes criterios:</w:t>
      </w:r>
    </w:p>
    <w:p w:rsidR="00000000" w:rsidDel="00000000" w:rsidP="00000000" w:rsidRDefault="00000000" w:rsidRPr="00000000" w14:paraId="0000003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a expedir será el que resulte menor entre:</w:t>
      </w:r>
    </w:p>
    <w:p w:rsidR="00000000" w:rsidDel="00000000" w:rsidP="00000000" w:rsidRDefault="00000000" w:rsidRPr="00000000" w14:paraId="0000003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cantidad solicitada;</w:t>
      </w:r>
    </w:p>
    <w:p w:rsidR="00000000" w:rsidDel="00000000" w:rsidP="00000000" w:rsidRDefault="00000000" w:rsidRPr="00000000" w14:paraId="0000003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indicado en la factura comercial;</w:t>
      </w:r>
    </w:p>
    <w:p w:rsidR="00000000" w:rsidDel="00000000" w:rsidP="00000000" w:rsidRDefault="00000000" w:rsidRPr="00000000" w14:paraId="0000003A">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2,000 toneladas, o</w:t>
      </w:r>
    </w:p>
    <w:p w:rsidR="00000000" w:rsidDel="00000000" w:rsidP="00000000" w:rsidRDefault="00000000" w:rsidRPr="00000000" w14:paraId="0000003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saldo del cupo.</w:t>
      </w:r>
    </w:p>
    <w:p w:rsidR="00000000" w:rsidDel="00000000" w:rsidP="00000000" w:rsidRDefault="00000000" w:rsidRPr="00000000" w14:paraId="0000003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asignaciones subsecuentes de cupo, se deberá acreditar el ejercicio total de por lo menos una de las asignaciones otorgadas anteriormente, adjuntando copia de los pedimentos de importación correspondientes.</w:t>
      </w:r>
    </w:p>
    <w:p w:rsidR="00000000" w:rsidDel="00000000" w:rsidP="00000000" w:rsidRDefault="00000000" w:rsidRPr="00000000" w14:paraId="0000003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cantidad acumulada que podrá asignarse a un beneficiario será de hasta el 25% del cupo.</w:t>
      </w:r>
    </w:p>
    <w:p w:rsidR="00000000" w:rsidDel="00000000" w:rsidP="00000000" w:rsidRDefault="00000000" w:rsidRPr="00000000" w14:paraId="0000003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Quinto.- </w:t>
      </w:r>
      <w:r w:rsidDel="00000000" w:rsidR="00000000" w:rsidRPr="00000000">
        <w:rPr>
          <w:color w:val="2f2f2f"/>
          <w:sz w:val="18"/>
          <w:szCs w:val="18"/>
          <w:rtl w:val="0"/>
        </w:rPr>
        <w:t xml:space="preserve">Los interesados en la obtención del cupo a que se refiere el presente Acuerdo deberán presentar el trámite de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 adjuntando digitalizada la factura comercial del producto a importar y la firma electrónica (e.firma) del interesado.</w:t>
      </w:r>
    </w:p>
    <w:p w:rsidR="00000000" w:rsidDel="00000000" w:rsidP="00000000" w:rsidRDefault="00000000" w:rsidRPr="00000000" w14:paraId="000000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vez que la Secretaría de Economía determine que se han cumplido los requisitos a que se refiere el párrafo anterior, emitirá la "Constancia de Registro de Asignación de cupo" dentro de los tres días hábiles siguientes a la presentación de la solicitud del trámite, el cual tendrá una vigencia del periodo comprendido a partir de la fecha de expedición y hasta el 31 de diciembre de 2021.</w:t>
      </w:r>
    </w:p>
    <w:p w:rsidR="00000000" w:rsidDel="00000000" w:rsidP="00000000" w:rsidRDefault="00000000" w:rsidRPr="00000000" w14:paraId="000000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beneficiarios del cupo deberán presentar en un plazo máximo de veinte días hábiles, contados a partir de la fecha de su autorización, copia del conocimiento de embarque, guía aérea o carta de porte,</w:t>
      </w:r>
    </w:p>
    <w:p w:rsidR="00000000" w:rsidDel="00000000" w:rsidP="00000000" w:rsidRDefault="00000000" w:rsidRPr="00000000" w14:paraId="00000041">
      <w:pPr>
        <w:shd w:fill="ffffff" w:val="clear"/>
        <w:spacing w:after="100" w:lineRule="auto"/>
        <w:jc w:val="both"/>
        <w:rPr>
          <w:color w:val="2f2f2f"/>
          <w:sz w:val="18"/>
          <w:szCs w:val="18"/>
        </w:rPr>
      </w:pPr>
      <w:r w:rsidDel="00000000" w:rsidR="00000000" w:rsidRPr="00000000">
        <w:rPr>
          <w:color w:val="2f2f2f"/>
          <w:sz w:val="18"/>
          <w:szCs w:val="18"/>
          <w:rtl w:val="0"/>
        </w:rPr>
        <w:t xml:space="preserve">correspondiente al monto autorizado de lo contrario su certificado será cancelado. La información deberá ser enviada a la siguiente dirección de correo electrónico dgce.cupos@economia.gob.mx.</w:t>
      </w:r>
    </w:p>
    <w:p w:rsidR="00000000" w:rsidDel="00000000" w:rsidP="00000000" w:rsidRDefault="00000000" w:rsidRPr="00000000" w14:paraId="000000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asignaciones subsecuentes de cupo el interesado deberá presentar el trámite de "Ampliación de monto"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w:t>
      </w:r>
    </w:p>
    <w:p w:rsidR="00000000" w:rsidDel="00000000" w:rsidP="00000000" w:rsidRDefault="00000000" w:rsidRPr="00000000" w14:paraId="000000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vez que el solicitante de asignación subsecuente de cupo cuente con el "Acuse de Recepción de Trámite" generado por la Ventanilla Digital Mexicana de Comercio Exterior, deberá enviarlo el mismo día a la dirección de correo electrónico dgce.cupos@economia.gob.mx, con la factura comercial a que se refiere el inciso b) de la fracción I del punto Cuarto del presente Acuerdo.</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efecto de poder autorizar asignaciones subsecuentes de cupo cuando el solicitante haya sido beneficiario de tres asignaciones de cupo deberá demostrar el ejercicio total de por lo menos una de las asignaciones otorgadas anteriormente y enviar los pedimentos de importación, a que se refiere la fracción II del punto Cuarto del presente Acuerdo, a la dirección de correo electrónico dgce.cupos@economia.gob.mx, de forma tal que, durante el periodo de vigencia de los cupos, los beneficiarios no cuenten con más de dos asignaciones sin comprobar.</w:t>
      </w:r>
    </w:p>
    <w:p w:rsidR="00000000" w:rsidDel="00000000" w:rsidP="00000000" w:rsidRDefault="00000000" w:rsidRPr="00000000" w14:paraId="000000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el objeto de garantizar la equidad en la asignación del cupo, el horario para la presentación de solicitudes a través de la Ventanilla Digital Mexicana de Comercio Exterior en la </w:t>
      </w:r>
      <w:r w:rsidDel="00000000" w:rsidR="00000000" w:rsidRPr="00000000">
        <w:rPr>
          <w:sz w:val="18"/>
          <w:szCs w:val="18"/>
          <w:rtl w:val="0"/>
        </w:rPr>
        <w:t xml:space="preserve">dirección electrónica </w:t>
      </w:r>
      <w:r w:rsidDel="00000000" w:rsidR="00000000" w:rsidRPr="00000000">
        <w:rPr>
          <w:color w:val="2f2f2f"/>
          <w:sz w:val="18"/>
          <w:szCs w:val="18"/>
          <w:rtl w:val="0"/>
        </w:rPr>
        <w:t xml:space="preserve">www.ventanillaunica.gob.mx, será a partir de las 11:00 horas (tiempo de la Zona del Centro de México) del día hábil siguiente al de la entrada en vigor del presente Acuerdo; a partir de ese momento la Ventanilla Digital Mexicana de Comercio Exterior estará disponible las 24 horas del día y en días hábiles.</w:t>
      </w:r>
    </w:p>
    <w:p w:rsidR="00000000" w:rsidDel="00000000" w:rsidP="00000000" w:rsidRDefault="00000000" w:rsidRPr="00000000" w14:paraId="000000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solicitudes que se presenten ante las Oficinas de Representación en las entidades federativas de la Secretaría de Economía que corresponda al domicilio del interesado, podrán ser presentadas a partir de las 11:00 horas (tiempo de la Zona del Centro de México) del día hábil siguiente al de la entrada en vigor del presente Acuerdo; a partir de ese momento los días de recepción serán únicamente los días martes, jueves y viernes (en días hábiles) de las 9:00 a las 12:00 horas, hora local de la entidad federativa que corresponda.</w:t>
      </w:r>
    </w:p>
    <w:p w:rsidR="00000000" w:rsidDel="00000000" w:rsidP="00000000" w:rsidRDefault="00000000" w:rsidRPr="00000000" w14:paraId="0000004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Sexto.-</w:t>
      </w:r>
      <w:r w:rsidDel="00000000" w:rsidR="00000000" w:rsidRPr="00000000">
        <w:rPr>
          <w:color w:val="2f2f2f"/>
          <w:sz w:val="18"/>
          <w:szCs w:val="18"/>
          <w:rtl w:val="0"/>
        </w:rPr>
        <w:t xml:space="preserve"> Una vez autorizada la "Constancia de Registro de Asignación de cupo", el interesado deberá presentar el trámite de "Expedición de Certificados de cupo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SE-FO-03-013-5 "Solicitud de certificados de cupo (Obtenido por asignación directa)". La Secretaría de Economía expedirá el certificado de cupo a más tardar en los dos días hábiles siguientes a la fecha de ingreso de la solicitud.</w:t>
      </w:r>
    </w:p>
    <w:p w:rsidR="00000000" w:rsidDel="00000000" w:rsidP="00000000" w:rsidRDefault="00000000" w:rsidRPr="00000000" w14:paraId="0000004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Séptimo.-</w:t>
      </w:r>
      <w:r w:rsidDel="00000000" w:rsidR="00000000" w:rsidRPr="00000000">
        <w:rPr>
          <w:color w:val="2f2f2f"/>
          <w:sz w:val="18"/>
          <w:szCs w:val="18"/>
          <w:rtl w:val="0"/>
        </w:rPr>
        <w:t xml:space="preserve"> Los certificados de cupo a que se refiere este Acuerdo son nominativos, intransferibles e improrrogables y su vigencia será de sesenta días naturales contados a partir de la fecha de expedición, o al 31 de diciembre de 2021, lo que ocurra primero.</w:t>
      </w:r>
    </w:p>
    <w:p w:rsidR="00000000" w:rsidDel="00000000" w:rsidP="00000000" w:rsidRDefault="00000000" w:rsidRPr="00000000" w14:paraId="0000004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Octavo.-</w:t>
      </w:r>
      <w:r w:rsidDel="00000000" w:rsidR="00000000" w:rsidRPr="00000000">
        <w:rPr>
          <w:color w:val="2f2f2f"/>
          <w:sz w:val="18"/>
          <w:szCs w:val="18"/>
          <w:rtl w:val="0"/>
        </w:rPr>
        <w:t xml:space="preserve"> En caso de que al término de la vigencia de los certificados de cupo existan saldos no ejercidos, conforme a las cifras de la Administración General de Aduanas del Servicio de Administración Tributaria, éstos se integrarán al saldo del cupo para reasignarse durante el periodo de vigencia del cupo en los términos del presente Acuerdo.</w:t>
      </w:r>
    </w:p>
    <w:p w:rsidR="00000000" w:rsidDel="00000000" w:rsidP="00000000" w:rsidRDefault="00000000" w:rsidRPr="00000000" w14:paraId="0000004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Noveno.-</w:t>
      </w:r>
      <w:r w:rsidDel="00000000" w:rsidR="00000000" w:rsidRPr="00000000">
        <w:rPr>
          <w:color w:val="2f2f2f"/>
          <w:sz w:val="18"/>
          <w:szCs w:val="18"/>
          <w:rtl w:val="0"/>
        </w:rPr>
        <w:t xml:space="preserve"> Los formatos a que se refiere el presente Acuerdo estarán a disposición de los interesados en las Oficinas de Representación en las entidades federativas de la Secretaría de Economía y en la página electrónica https://catalogonacional.gob.mx.</w:t>
      </w:r>
    </w:p>
    <w:p w:rsidR="00000000" w:rsidDel="00000000" w:rsidP="00000000" w:rsidRDefault="00000000" w:rsidRPr="00000000" w14:paraId="0000004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Décimo.-</w:t>
      </w:r>
      <w:r w:rsidDel="00000000" w:rsidR="00000000" w:rsidRPr="00000000">
        <w:rPr>
          <w:color w:val="2f2f2f"/>
          <w:sz w:val="18"/>
          <w:szCs w:val="18"/>
          <w:rtl w:val="0"/>
        </w:rPr>
        <w:t xml:space="preserve"> Los certificados de cupo expedidos al amparo del presente Acuerdo no eximen del cumplimiento de otros requisitos y demás regulaciones y restricciones no arancelarias aplicables a las mercancías en la aduana de despacho.</w:t>
      </w:r>
    </w:p>
    <w:p w:rsidR="00000000" w:rsidDel="00000000" w:rsidP="00000000" w:rsidRDefault="00000000" w:rsidRPr="00000000" w14:paraId="0000004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Décimo Primero.-</w:t>
      </w:r>
      <w:r w:rsidDel="00000000" w:rsidR="00000000" w:rsidRPr="00000000">
        <w:rPr>
          <w:color w:val="2f2f2f"/>
          <w:sz w:val="18"/>
          <w:szCs w:val="18"/>
          <w:rtl w:val="0"/>
        </w:rPr>
        <w:t xml:space="preserve"> La información referente a la evolución de las solicitudes y autorizaciones a que se refiere este Acuerdo será publicada en el apartado de Transparencia disponible en el portal electrónico sobre facilitación comercial, del Servicio Nacional de Información de Comercio Exterior (SNICE), en la página electrónica: https://www.snice.gob.mx/cs/avi/snice/transparenciacomercioexterior.html.</w:t>
      </w:r>
    </w:p>
    <w:p w:rsidR="00000000" w:rsidDel="00000000" w:rsidP="00000000" w:rsidRDefault="00000000" w:rsidRPr="00000000" w14:paraId="0000004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El presente Acuerdo entrará en vigor el día de su publicación en el Diario Oficial de la</w:t>
      </w:r>
    </w:p>
    <w:p w:rsidR="00000000" w:rsidDel="00000000" w:rsidP="00000000" w:rsidRDefault="00000000" w:rsidRPr="00000000" w14:paraId="0000004F">
      <w:pPr>
        <w:shd w:fill="ffffff" w:val="clear"/>
        <w:spacing w:after="100" w:lineRule="auto"/>
        <w:jc w:val="both"/>
        <w:rPr>
          <w:color w:val="2f2f2f"/>
          <w:sz w:val="18"/>
          <w:szCs w:val="18"/>
        </w:rPr>
      </w:pPr>
      <w:r w:rsidDel="00000000" w:rsidR="00000000" w:rsidRPr="00000000">
        <w:rPr>
          <w:color w:val="2f2f2f"/>
          <w:sz w:val="18"/>
          <w:szCs w:val="18"/>
          <w:rtl w:val="0"/>
        </w:rPr>
        <w:t xml:space="preserve">Federación.</w:t>
      </w:r>
    </w:p>
    <w:p w:rsidR="00000000" w:rsidDel="00000000" w:rsidP="00000000" w:rsidRDefault="00000000" w:rsidRPr="00000000" w14:paraId="0000005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23 de junio de 2021.- La Secretaria de Economía,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